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96475"/>
      <w:bookmarkStart w:id="3" w:name="_Toc15377193"/>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2022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8442"/>
      <w:bookmarkStart w:id="7" w:name="_Toc15377426"/>
      <w:bookmarkStart w:id="8" w:name="_Toc15377194"/>
      <w:bookmarkStart w:id="9" w:name="_Toc15396476"/>
      <w:bookmarkStart w:id="10" w:name="_Toc15396598"/>
      <w:r>
        <w:rPr>
          <w:rFonts w:hint="eastAsia" w:ascii="方正小标宋简体" w:hAnsi="方正小标宋简体" w:eastAsia="方正小标宋简体" w:cs="方正小标宋简体"/>
          <w:sz w:val="72"/>
          <w:szCs w:val="72"/>
        </w:rPr>
        <w:t>泸县</w:t>
      </w:r>
      <w:bookmarkEnd w:id="5"/>
      <w:bookmarkStart w:id="11" w:name="_Toc15306268"/>
      <w:r>
        <w:rPr>
          <w:rFonts w:hint="eastAsia" w:ascii="方正小标宋简体" w:hAnsi="方正小标宋简体" w:eastAsia="方正小标宋简体" w:cs="方正小标宋简体"/>
          <w:sz w:val="72"/>
          <w:szCs w:val="72"/>
          <w:lang w:eastAsia="zh-CN"/>
        </w:rPr>
        <w:t>百和镇</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pStyle w:val="5"/>
        <w:rPr>
          <w:rFonts w:hint="eastAsia" w:ascii="方正小标宋简体" w:hAnsi="方正小标宋简体" w:eastAsia="方正小标宋简体" w:cs="方正小标宋简体"/>
          <w:sz w:val="72"/>
          <w:szCs w:val="72"/>
        </w:rPr>
      </w:pPr>
    </w:p>
    <w:p>
      <w:pPr>
        <w:pStyle w:val="5"/>
        <w:rPr>
          <w:rFonts w:hint="eastAsia" w:ascii="方正小标宋简体" w:hAnsi="方正小标宋简体" w:eastAsia="方正小标宋简体" w:cs="方正小标宋简体"/>
          <w:sz w:val="72"/>
          <w:szCs w:val="72"/>
        </w:rPr>
      </w:pPr>
    </w:p>
    <w:p>
      <w:pPr>
        <w:pStyle w:val="5"/>
        <w:rPr>
          <w:rFonts w:hint="eastAsia" w:ascii="方正小标宋简体" w:hAnsi="方正小标宋简体" w:eastAsia="方正小标宋简体" w:cs="方正小标宋简体"/>
          <w:sz w:val="72"/>
          <w:szCs w:val="72"/>
        </w:rPr>
      </w:pPr>
    </w:p>
    <w:p>
      <w:pPr>
        <w:pStyle w:val="5"/>
        <w:rPr>
          <w:rFonts w:hint="eastAsia" w:ascii="方正小标宋简体" w:hAnsi="方正小标宋简体" w:eastAsia="方正小标宋简体" w:cs="方正小标宋简体"/>
          <w:sz w:val="72"/>
          <w:szCs w:val="72"/>
        </w:rPr>
      </w:pPr>
    </w:p>
    <w:p>
      <w:pPr>
        <w:pStyle w:val="5"/>
        <w:rPr>
          <w:rFonts w:hint="eastAsia" w:ascii="方正小标宋简体" w:hAnsi="方正小标宋简体" w:eastAsia="方正小标宋简体" w:cs="方正小标宋简体"/>
          <w:sz w:val="72"/>
          <w:szCs w:val="72"/>
        </w:rPr>
      </w:pPr>
    </w:p>
    <w:p>
      <w:pPr>
        <w:pStyle w:val="10"/>
        <w:rPr>
          <w:b/>
          <w:bCs/>
          <w:sz w:val="36"/>
          <w:szCs w:val="36"/>
        </w:rPr>
      </w:pPr>
      <w:r>
        <w:rPr>
          <w:rFonts w:hint="eastAsia"/>
          <w:b/>
          <w:bCs/>
          <w:sz w:val="36"/>
          <w:szCs w:val="36"/>
        </w:rPr>
        <w:t>公开时间：202</w:t>
      </w:r>
      <w:r>
        <w:rPr>
          <w:rFonts w:hint="eastAsia"/>
          <w:b/>
          <w:bCs/>
          <w:sz w:val="36"/>
          <w:szCs w:val="36"/>
          <w:lang w:val="en-US" w:eastAsia="zh-CN"/>
        </w:rPr>
        <w:t>3</w:t>
      </w:r>
      <w:r>
        <w:rPr>
          <w:rFonts w:hint="eastAsia"/>
          <w:b/>
          <w:bCs/>
          <w:sz w:val="36"/>
          <w:szCs w:val="36"/>
        </w:rPr>
        <w:t>年</w:t>
      </w:r>
      <w:r>
        <w:rPr>
          <w:rFonts w:hint="eastAsia"/>
          <w:b/>
          <w:bCs/>
          <w:sz w:val="36"/>
          <w:szCs w:val="36"/>
          <w:lang w:val="en-US" w:eastAsia="zh-CN"/>
        </w:rPr>
        <w:t>10</w:t>
      </w:r>
      <w:r>
        <w:rPr>
          <w:rFonts w:hint="eastAsia"/>
          <w:b/>
          <w:bCs/>
          <w:sz w:val="36"/>
          <w:szCs w:val="36"/>
        </w:rPr>
        <w:t>月</w:t>
      </w:r>
      <w:r>
        <w:rPr>
          <w:rFonts w:hint="eastAsia"/>
          <w:b/>
          <w:bCs/>
          <w:sz w:val="36"/>
          <w:szCs w:val="36"/>
          <w:lang w:val="en-US" w:eastAsia="zh-CN"/>
        </w:rPr>
        <w:t>12</w:t>
      </w:r>
      <w:r>
        <w:rPr>
          <w:rFonts w:hint="eastAsia"/>
          <w:b/>
          <w:bCs/>
          <w:sz w:val="36"/>
          <w:szCs w:val="36"/>
        </w:rPr>
        <w:t>日</w:t>
      </w: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keepNext w:val="0"/>
        <w:keepLines w:val="0"/>
        <w:pageBreakBefore w:val="0"/>
        <w:widowControl/>
        <w:kinsoku/>
        <w:wordWrap/>
        <w:overflowPunct/>
        <w:topLinePunct w:val="0"/>
        <w:autoSpaceDE/>
        <w:autoSpaceDN/>
        <w:bidi w:val="0"/>
        <w:spacing w:line="560" w:lineRule="exact"/>
        <w:ind w:left="0" w:leftChars="0" w:firstLine="0" w:firstLineChars="0"/>
        <w:jc w:val="left"/>
        <w:textAlignment w:val="auto"/>
        <w:rPr>
          <w:rFonts w:ascii="黑体" w:hAnsi="黑体" w:eastAsia="黑体" w:cstheme="minorBidi"/>
          <w:sz w:val="28"/>
          <w:szCs w:val="28"/>
        </w:rPr>
      </w:pPr>
    </w:p>
    <w:p>
      <w:pPr>
        <w:keepNext w:val="0"/>
        <w:keepLines w:val="0"/>
        <w:pageBreakBefore w:val="0"/>
        <w:kinsoku/>
        <w:wordWrap/>
        <w:overflowPunct/>
        <w:topLinePunct w:val="0"/>
        <w:autoSpaceDE/>
        <w:autoSpaceDN/>
        <w:bidi w:val="0"/>
        <w:spacing w:line="560" w:lineRule="exact"/>
        <w:ind w:left="0" w:leftChars="0" w:firstLine="0" w:firstLineChars="0"/>
        <w:jc w:val="left"/>
        <w:textAlignment w:val="auto"/>
      </w:pPr>
    </w:p>
    <w:p>
      <w:pPr>
        <w:pStyle w:val="10"/>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2" w:firstLineChars="200"/>
        <w:jc w:val="left"/>
        <w:textAlignment w:val="auto"/>
        <w:rPr>
          <w:rFonts w:cstheme="minorBidi"/>
          <w:b/>
          <w:bCs/>
          <w:sz w:val="28"/>
          <w:szCs w:val="28"/>
        </w:rPr>
      </w:pPr>
      <w:r>
        <w:rPr>
          <w:rFonts w:hint="eastAsia"/>
          <w:b/>
          <w:bCs/>
          <w:sz w:val="28"/>
          <w:szCs w:val="28"/>
        </w:rPr>
        <w:t>第一部分部门概况</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一、基本职能及主要工作</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二、机构设置</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2" w:firstLineChars="200"/>
        <w:jc w:val="left"/>
        <w:textAlignment w:val="auto"/>
        <w:rPr>
          <w:rFonts w:hint="eastAsia" w:cs="Times New Roman"/>
          <w:b/>
          <w:bCs/>
          <w:sz w:val="28"/>
          <w:szCs w:val="28"/>
        </w:rPr>
      </w:pPr>
      <w:r>
        <w:rPr>
          <w:rFonts w:hint="eastAsia" w:cs="Times New Roman"/>
          <w:b/>
          <w:bCs/>
          <w:sz w:val="28"/>
          <w:szCs w:val="28"/>
        </w:rPr>
        <w:t xml:space="preserve">第二部分 </w:t>
      </w:r>
      <w:r>
        <w:rPr>
          <w:rFonts w:hint="eastAsia" w:cs="Times New Roman"/>
          <w:b/>
          <w:bCs/>
          <w:sz w:val="28"/>
          <w:szCs w:val="28"/>
          <w:lang w:eastAsia="zh-CN"/>
        </w:rPr>
        <w:t>2022</w:t>
      </w:r>
      <w:r>
        <w:rPr>
          <w:rFonts w:hint="eastAsia" w:cs="Times New Roman"/>
          <w:b/>
          <w:bCs/>
          <w:sz w:val="28"/>
          <w:szCs w:val="28"/>
        </w:rPr>
        <w:t>年度部门决算情况说明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一、收入支出决算总体情况说明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二、收入决算情况说明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三、支出决算情况说明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四、财政拨款收入支出决算总体情况说明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五、一般公共预算财政拨款支出决算情况说明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六、一般公共预算财政拨款基本支出决算情况说明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七、“三公”经费财政拨款支出决算情况说明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仿宋" w:hAnsi="仿宋" w:eastAsia="仿宋" w:cstheme="minorBidi"/>
          <w:sz w:val="24"/>
        </w:rPr>
      </w:pPr>
      <w:r>
        <w:rPr>
          <w:rFonts w:hint="eastAsia"/>
          <w:sz w:val="24"/>
        </w:rPr>
        <w:t>八、政府性基金预算支出决算情况说明</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asciiTheme="minorEastAsia" w:hAnsiTheme="minorEastAsia" w:eastAsiaTheme="minorEastAsia" w:cstheme="minorEastAsia"/>
          <w:sz w:val="24"/>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2" w:firstLineChars="200"/>
        <w:jc w:val="left"/>
        <w:textAlignment w:val="auto"/>
        <w:rPr>
          <w:rFonts w:hint="eastAsia" w:cs="Times New Roman"/>
          <w:b/>
          <w:bCs/>
          <w:sz w:val="28"/>
          <w:szCs w:val="28"/>
        </w:rPr>
      </w:pPr>
      <w:r>
        <w:rPr>
          <w:rFonts w:hint="eastAsia" w:cs="Times New Roman"/>
          <w:b/>
          <w:bCs/>
          <w:sz w:val="28"/>
          <w:szCs w:val="28"/>
        </w:rPr>
        <w:t>第三部分名词解释</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2" w:firstLineChars="200"/>
        <w:jc w:val="left"/>
        <w:textAlignment w:val="auto"/>
        <w:rPr>
          <w:rFonts w:hint="eastAsia" w:cs="Times New Roman"/>
          <w:b/>
          <w:bCs/>
          <w:sz w:val="28"/>
          <w:szCs w:val="28"/>
        </w:rPr>
      </w:pPr>
      <w:r>
        <w:rPr>
          <w:rFonts w:hint="eastAsia" w:cs="Times New Roman"/>
          <w:b/>
          <w:bCs/>
          <w:sz w:val="28"/>
          <w:szCs w:val="28"/>
        </w:rPr>
        <w:t>第四部分附件</w:t>
      </w:r>
    </w:p>
    <w:p>
      <w:pPr>
        <w:pStyle w:val="10"/>
        <w:keepNext w:val="0"/>
        <w:keepLines w:val="0"/>
        <w:pageBreakBefore w:val="0"/>
        <w:widowControl w:val="0"/>
        <w:kinsoku/>
        <w:wordWrap/>
        <w:overflowPunct/>
        <w:topLinePunct w:val="0"/>
        <w:autoSpaceDE/>
        <w:autoSpaceDN/>
        <w:bidi w:val="0"/>
        <w:adjustRightInd w:val="0"/>
        <w:snapToGrid w:val="0"/>
        <w:spacing w:before="0" w:line="560" w:lineRule="exact"/>
        <w:ind w:left="0" w:leftChars="0" w:firstLine="562" w:firstLineChars="200"/>
        <w:jc w:val="left"/>
        <w:textAlignment w:val="auto"/>
        <w:rPr>
          <w:rFonts w:hint="eastAsia" w:cs="Times New Roman"/>
          <w:b/>
          <w:bCs/>
          <w:sz w:val="28"/>
          <w:szCs w:val="28"/>
        </w:rPr>
      </w:pPr>
      <w:r>
        <w:rPr>
          <w:rFonts w:hint="eastAsia" w:cs="Times New Roman"/>
          <w:b/>
          <w:bCs/>
          <w:sz w:val="28"/>
          <w:szCs w:val="28"/>
        </w:rPr>
        <w:t>第五部分附表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bookmarkStart w:id="12" w:name="_Toc15396599"/>
      <w:bookmarkStart w:id="13" w:name="_Toc15377196"/>
      <w:r>
        <w:rPr>
          <w:rFonts w:hint="eastAsia" w:asciiTheme="minorEastAsia" w:hAnsiTheme="minorEastAsia" w:eastAsiaTheme="minorEastAsia" w:cstheme="minorEastAsia"/>
          <w:sz w:val="24"/>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w:t>
      </w:r>
      <w:r>
        <w:rPr>
          <w:rFonts w:hint="eastAsia" w:asciiTheme="minorEastAsia" w:hAnsiTheme="minorEastAsia" w:eastAsiaTheme="minorEastAsia" w:cstheme="minorEastAsia"/>
          <w:sz w:val="24"/>
          <w:lang w:eastAsia="zh-CN"/>
        </w:rPr>
        <w:t>明细</w:t>
      </w:r>
      <w:r>
        <w:rPr>
          <w:rFonts w:hint="eastAsia" w:asciiTheme="minorEastAsia" w:hAnsiTheme="minorEastAsia" w:eastAsiaTheme="minorEastAsia" w:cstheme="minorEastAsia"/>
          <w:sz w:val="24"/>
        </w:rPr>
        <w:t>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十一、国有资本经营预算财政拨款收入支出决算表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十二、</w:t>
      </w:r>
      <w:r>
        <w:rPr>
          <w:rFonts w:hint="eastAsia" w:asciiTheme="minorEastAsia" w:hAnsiTheme="minorEastAsia" w:eastAsiaTheme="minorEastAsia" w:cstheme="minorEastAsia"/>
          <w:sz w:val="24"/>
          <w:lang w:val="en-US" w:eastAsia="zh-CN"/>
        </w:rPr>
        <w:t>国有资本经营预算财政拨款支出决算表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十三、财政拨款“三公”经费支出决算表</w:t>
      </w:r>
    </w:p>
    <w:p>
      <w:pPr>
        <w:keepNext w:val="0"/>
        <w:keepLines w:val="0"/>
        <w:pageBreakBefore w:val="0"/>
        <w:widowControl/>
        <w:kinsoku/>
        <w:wordWrap/>
        <w:overflowPunct/>
        <w:topLinePunct w:val="0"/>
        <w:autoSpaceDE/>
        <w:autoSpaceDN/>
        <w:bidi w:val="0"/>
        <w:spacing w:line="560" w:lineRule="exact"/>
        <w:ind w:left="0" w:leftChars="0" w:firstLine="0" w:firstLineChars="0"/>
        <w:jc w:val="left"/>
        <w:textAlignment w:val="auto"/>
        <w:rPr>
          <w:rFonts w:ascii="仿宋" w:hAnsi="仿宋" w:eastAsia="仿宋"/>
          <w:bCs/>
          <w:kern w:val="44"/>
          <w:sz w:val="24"/>
        </w:rPr>
      </w:pPr>
      <w:r>
        <w:rPr>
          <w:rFonts w:ascii="仿宋" w:hAnsi="仿宋" w:eastAsia="仿宋"/>
          <w:b/>
          <w:sz w:val="24"/>
        </w:rPr>
        <w:br w:type="page"/>
      </w:r>
    </w:p>
    <w:p>
      <w:pPr>
        <w:pageBreakBefore w:val="0"/>
        <w:kinsoku/>
        <w:wordWrap/>
        <w:overflowPunct/>
        <w:topLinePunct w:val="0"/>
        <w:autoSpaceDE/>
        <w:autoSpaceDN/>
        <w:bidi w:val="0"/>
        <w:spacing w:before="0" w:after="0" w:line="560" w:lineRule="exact"/>
        <w:ind w:firstLine="880" w:firstLineChars="200"/>
        <w:jc w:val="center"/>
        <w:textAlignment w:val="auto"/>
        <w:outlineLvl w:val="9"/>
        <w:rPr>
          <w:rStyle w:val="24"/>
          <w:rFonts w:ascii="黑体" w:hAnsi="黑体" w:eastAsia="黑体"/>
          <w:b/>
          <w:bCs w:val="0"/>
        </w:rPr>
      </w:pPr>
      <w:r>
        <w:rPr>
          <w:rStyle w:val="24"/>
          <w:rFonts w:hint="eastAsia" w:ascii="黑体" w:hAnsi="黑体" w:eastAsia="黑体"/>
          <w:b w:val="0"/>
          <w:bCs w:val="0"/>
        </w:rPr>
        <w:t>第一部分 部门概况</w:t>
      </w:r>
      <w:bookmarkEnd w:id="12"/>
      <w:bookmarkEnd w:id="13"/>
    </w:p>
    <w:p>
      <w:pPr>
        <w:pageBreakBefore w:val="0"/>
        <w:widowControl/>
        <w:kinsoku/>
        <w:wordWrap/>
        <w:overflowPunct/>
        <w:topLinePunct w:val="0"/>
        <w:autoSpaceDE/>
        <w:autoSpaceDN/>
        <w:bidi w:val="0"/>
        <w:spacing w:line="560" w:lineRule="exact"/>
        <w:ind w:firstLine="640" w:firstLineChars="200"/>
        <w:jc w:val="both"/>
        <w:textAlignment w:val="auto"/>
        <w:outlineLvl w:val="9"/>
        <w:rPr>
          <w:rFonts w:ascii="黑体" w:eastAsia="黑体"/>
          <w:sz w:val="32"/>
          <w:szCs w:val="32"/>
        </w:rPr>
      </w:pPr>
    </w:p>
    <w:p>
      <w:pPr>
        <w:pageBreakBefore w:val="0"/>
        <w:kinsoku/>
        <w:wordWrap/>
        <w:overflowPunct/>
        <w:topLinePunct w:val="0"/>
        <w:autoSpaceDE/>
        <w:autoSpaceDN/>
        <w:bidi w:val="0"/>
        <w:spacing w:before="0" w:after="0" w:line="560" w:lineRule="exact"/>
        <w:ind w:firstLine="640" w:firstLineChars="200"/>
        <w:jc w:val="both"/>
        <w:textAlignment w:val="auto"/>
        <w:outlineLvl w:val="9"/>
        <w:rPr>
          <w:rStyle w:val="25"/>
          <w:rFonts w:ascii="仿宋" w:hAnsi="仿宋" w:eastAsia="仿宋"/>
          <w:b w:val="0"/>
          <w:bCs w:val="0"/>
        </w:rPr>
      </w:pPr>
      <w:bookmarkStart w:id="14" w:name="_Toc15396600"/>
      <w:bookmarkStart w:id="15" w:name="_Toc15377197"/>
      <w:r>
        <w:rPr>
          <w:rStyle w:val="25"/>
          <w:rFonts w:hint="eastAsia" w:ascii="黑体" w:hAnsi="黑体" w:eastAsia="黑体"/>
          <w:b w:val="0"/>
          <w:bCs w:val="0"/>
        </w:rPr>
        <w:t>一、基本职能及主要工作</w:t>
      </w:r>
      <w:bookmarkEnd w:id="14"/>
      <w:bookmarkEnd w:id="15"/>
    </w:p>
    <w:p>
      <w:pPr>
        <w:pStyle w:val="5"/>
        <w:pageBreakBefore w:val="0"/>
        <w:kinsoku/>
        <w:wordWrap/>
        <w:overflowPunct/>
        <w:topLinePunct w:val="0"/>
        <w:autoSpaceDE/>
        <w:autoSpaceDN/>
        <w:bidi w:val="0"/>
        <w:adjustRightInd w:val="0"/>
        <w:spacing w:beforeLines="0" w:line="560" w:lineRule="exact"/>
        <w:ind w:firstLine="643" w:firstLineChars="200"/>
        <w:jc w:val="both"/>
        <w:textAlignment w:val="auto"/>
        <w:outlineLvl w:val="9"/>
        <w:rPr>
          <w:rFonts w:hint="default" w:ascii="Times New Roman" w:hAnsi="Times New Roman" w:eastAsia="楷体_GB2312" w:cs="Times New Roman"/>
          <w:b/>
          <w:sz w:val="32"/>
          <w:highlight w:val="none"/>
        </w:rPr>
      </w:pPr>
      <w:bookmarkStart w:id="16" w:name="_Toc15378445"/>
      <w:bookmarkStart w:id="17" w:name="_Toc15377198"/>
      <w:r>
        <w:rPr>
          <w:rFonts w:hint="default" w:ascii="Times New Roman" w:hAnsi="Times New Roman" w:eastAsia="楷体_GB2312" w:cs="Times New Roman"/>
          <w:b/>
          <w:sz w:val="32"/>
          <w:highlight w:val="none"/>
          <w:lang w:eastAsia="zh-CN"/>
        </w:rPr>
        <w:t>（一）</w:t>
      </w:r>
      <w:r>
        <w:rPr>
          <w:rFonts w:hint="default" w:ascii="Times New Roman" w:hAnsi="Times New Roman" w:eastAsia="楷体_GB2312" w:cs="Times New Roman"/>
          <w:b/>
          <w:sz w:val="32"/>
          <w:highlight w:val="none"/>
        </w:rPr>
        <w:t>基本职能</w:t>
      </w:r>
    </w:p>
    <w:p>
      <w:pPr>
        <w:pStyle w:val="5"/>
        <w:pageBreakBefore w:val="0"/>
        <w:kinsoku/>
        <w:wordWrap/>
        <w:overflowPunct/>
        <w:topLinePunct w:val="0"/>
        <w:autoSpaceDE/>
        <w:autoSpaceDN/>
        <w:bidi w:val="0"/>
        <w:adjustRightInd w:val="0"/>
        <w:spacing w:beforeLines="0" w:line="560" w:lineRule="exact"/>
        <w:ind w:firstLine="643" w:firstLineChars="200"/>
        <w:jc w:val="both"/>
        <w:textAlignment w:val="auto"/>
        <w:outlineLvl w:val="9"/>
        <w:rPr>
          <w:rFonts w:hint="eastAsia" w:ascii="Times New Roman" w:hAnsi="Times New Roman" w:cs="Times New Roman"/>
          <w:b/>
          <w:bCs w:val="0"/>
          <w:sz w:val="32"/>
          <w:szCs w:val="32"/>
          <w:highlight w:val="none"/>
          <w:lang w:eastAsia="zh-CN"/>
        </w:rPr>
      </w:pPr>
      <w:r>
        <w:rPr>
          <w:rFonts w:hint="eastAsia" w:ascii="Times New Roman" w:hAnsi="Times New Roman" w:cs="Times New Roman"/>
          <w:b/>
          <w:bCs w:val="0"/>
          <w:sz w:val="32"/>
          <w:szCs w:val="32"/>
          <w:highlight w:val="none"/>
          <w:lang w:val="en-US" w:eastAsia="zh-CN"/>
        </w:rPr>
        <w:t>泸县百和镇人民政府</w:t>
      </w:r>
      <w:r>
        <w:rPr>
          <w:rFonts w:hint="default" w:ascii="Times New Roman" w:hAnsi="Times New Roman" w:eastAsia="仿宋_GB2312" w:cs="Times New Roman"/>
          <w:b/>
          <w:bCs w:val="0"/>
          <w:sz w:val="32"/>
          <w:szCs w:val="32"/>
          <w:highlight w:val="none"/>
        </w:rPr>
        <w:t>职能简介</w:t>
      </w:r>
      <w:r>
        <w:rPr>
          <w:rFonts w:hint="eastAsia" w:ascii="Times New Roman" w:hAnsi="Times New Roman" w:cs="Times New Roman"/>
          <w:b/>
          <w:bCs w:val="0"/>
          <w:sz w:val="32"/>
          <w:szCs w:val="32"/>
          <w:highlight w:val="none"/>
          <w:lang w:eastAsia="zh-CN"/>
        </w:rPr>
        <w:t>：</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1、贯彻执行党和国家的路线方针、政策、法律和法规，以及上级机关决定、命令，执行本级人民代表大会的各项决议，研究并制定适合本镇实际的具体政策和措施。</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2、组织制订全镇经济社会发展的中长期规划，编制经济发展总体布局和产业布局。制定和组织实施全镇农业、农村、社区等城市化建设的规划和措施。</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3、负责全镇社会事务管理，基层政权建设和组织建设。负责经济建设，精神文明建设，新农村新社区建设和公共服务设施建设。</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4、负责辖区城乡统筹改革和发展，加快推进农房改造和集聚，大力推进农业结构调整，加快推进农业转型升级，做大做强优势特色产业，加强扶贫开发和公共服务。</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5、加强社会治安综合治理和公共安全，建立和健全群防群治网络，增强信访和矛盾纠纷调解处置能力，维护社会稳定。</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6、管理行政区域内的教育、科学、文化、卫生、体育事业和财政、民政、交通、宗教、规划、土地、公安、司法、人口计生、流动人口、安全生产、生态保护、节能环保等各项行政工作。</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7、负责配合协助行政区域内行政执法和部门委托授权的行政执法。</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8、负责辖区绩效考核，新社会组织的管理。</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9、推进民主法制建设，指导村、社区等自治组织建设，维护群众合法权益。</w:t>
      </w:r>
    </w:p>
    <w:bookmarkEnd w:id="16"/>
    <w:bookmarkEnd w:id="17"/>
    <w:p>
      <w:pPr>
        <w:pStyle w:val="5"/>
        <w:pageBreakBefore w:val="0"/>
        <w:kinsoku/>
        <w:wordWrap/>
        <w:overflowPunct/>
        <w:topLinePunct w:val="0"/>
        <w:autoSpaceDE/>
        <w:autoSpaceDN/>
        <w:bidi w:val="0"/>
        <w:adjustRightInd w:val="0"/>
        <w:snapToGrid w:val="0"/>
        <w:spacing w:beforeLines="0" w:line="560" w:lineRule="exact"/>
        <w:ind w:firstLine="643" w:firstLineChars="200"/>
        <w:jc w:val="both"/>
        <w:textAlignment w:val="auto"/>
        <w:outlineLvl w:val="9"/>
        <w:rPr>
          <w:rFonts w:hint="eastAsia" w:ascii="仿宋" w:hAnsi="仿宋" w:eastAsia="仿宋"/>
          <w:bCs/>
          <w:sz w:val="32"/>
          <w:szCs w:val="32"/>
        </w:rPr>
      </w:pPr>
      <w:bookmarkStart w:id="18" w:name="_Toc15377199"/>
      <w:bookmarkStart w:id="19" w:name="_Toc15378446"/>
      <w:r>
        <w:rPr>
          <w:rFonts w:hint="eastAsia" w:ascii="Times New Roman" w:hAnsi="Times New Roman" w:eastAsia="楷体_GB2312" w:cs="Times New Roman"/>
          <w:b/>
          <w:sz w:val="32"/>
          <w:highlight w:val="none"/>
        </w:rPr>
        <w:t>（二）</w:t>
      </w:r>
      <w:r>
        <w:rPr>
          <w:rFonts w:hint="eastAsia" w:ascii="Times New Roman" w:eastAsia="楷体_GB2312" w:cs="Times New Roman"/>
          <w:b/>
          <w:sz w:val="32"/>
          <w:highlight w:val="none"/>
          <w:lang w:eastAsia="zh-CN"/>
        </w:rPr>
        <w:t>2022</w:t>
      </w:r>
      <w:r>
        <w:rPr>
          <w:rFonts w:hint="eastAsia" w:ascii="Times New Roman" w:hAnsi="Times New Roman" w:eastAsia="楷体_GB2312" w:cs="Times New Roman"/>
          <w:b/>
          <w:sz w:val="32"/>
          <w:highlight w:val="none"/>
        </w:rPr>
        <w:t>年重点工作完成情况</w:t>
      </w:r>
      <w:r>
        <w:rPr>
          <w:rFonts w:hint="eastAsia" w:ascii="仿宋" w:hAnsi="仿宋" w:eastAsia="仿宋"/>
          <w:bCs/>
          <w:sz w:val="32"/>
          <w:szCs w:val="32"/>
        </w:rPr>
        <w:t>。</w:t>
      </w:r>
      <w:bookmarkEnd w:id="18"/>
      <w:bookmarkEnd w:id="19"/>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积极培植财源，强化税收征管，努力完成全年财政预算收支任务。</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强化财政资金管理,确保工资和重点支出资金的需求。</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积极向上争取各项资金，促进农村基础设施建设。</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 xml:space="preserve">认真落实各项财政补贴政策。 </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切实推进扶贫工作。</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以规范收支为重点，加强了村级财务管理。</w:t>
      </w:r>
    </w:p>
    <w:p>
      <w:pPr>
        <w:pStyle w:val="5"/>
        <w:pageBreakBefore w:val="0"/>
        <w:numPr>
          <w:ilvl w:val="0"/>
          <w:numId w:val="1"/>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 xml:space="preserve">认真落实物价政策，加强涉农收费管理。 </w:t>
      </w:r>
    </w:p>
    <w:p>
      <w:pPr>
        <w:pageBreakBefore w:val="0"/>
        <w:kinsoku/>
        <w:wordWrap/>
        <w:overflowPunct/>
        <w:topLinePunct w:val="0"/>
        <w:autoSpaceDE/>
        <w:autoSpaceDN/>
        <w:bidi w:val="0"/>
        <w:spacing w:before="0" w:after="0" w:line="560" w:lineRule="exact"/>
        <w:ind w:firstLine="640" w:firstLineChars="200"/>
        <w:jc w:val="both"/>
        <w:textAlignment w:val="auto"/>
        <w:outlineLvl w:val="9"/>
        <w:rPr>
          <w:rStyle w:val="25"/>
          <w:b w:val="0"/>
          <w:bCs w:val="0"/>
        </w:rPr>
      </w:pPr>
      <w:bookmarkStart w:id="20" w:name="_Toc15396601"/>
      <w:bookmarkStart w:id="21" w:name="_Toc15377200"/>
      <w:r>
        <w:rPr>
          <w:rStyle w:val="25"/>
          <w:rFonts w:hint="eastAsia" w:ascii="黑体" w:hAnsi="黑体" w:eastAsia="黑体"/>
          <w:b w:val="0"/>
          <w:bCs w:val="0"/>
        </w:rPr>
        <w:t>二、机构设置</w:t>
      </w:r>
      <w:bookmarkEnd w:id="20"/>
      <w:bookmarkEnd w:id="21"/>
    </w:p>
    <w:p>
      <w:pPr>
        <w:pStyle w:val="5"/>
        <w:pageBreakBefore w:val="0"/>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Times New Roman"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泸县百和镇人民政府</w:t>
      </w:r>
      <w:r>
        <w:rPr>
          <w:rFonts w:hint="default" w:ascii="Times New Roman" w:hAnsi="Times New Roman" w:eastAsia="仿宋_GB2312" w:cs="Times New Roman"/>
          <w:b w:val="0"/>
          <w:bCs/>
          <w:sz w:val="32"/>
          <w:szCs w:val="32"/>
          <w:highlight w:val="none"/>
          <w:lang w:eastAsia="zh-CN"/>
        </w:rPr>
        <w:t>下属</w:t>
      </w:r>
      <w:r>
        <w:rPr>
          <w:rFonts w:hint="eastAsia" w:ascii="Times New Roman" w:cs="Times New Roman"/>
          <w:b w:val="0"/>
          <w:bCs/>
          <w:sz w:val="32"/>
          <w:szCs w:val="32"/>
          <w:highlight w:val="none"/>
          <w:lang w:eastAsia="zh-CN"/>
        </w:rPr>
        <w:t>二</w:t>
      </w:r>
      <w:r>
        <w:rPr>
          <w:rFonts w:hint="default" w:ascii="Times New Roman" w:hAnsi="Times New Roman" w:eastAsia="仿宋_GB2312" w:cs="Times New Roman"/>
          <w:b w:val="0"/>
          <w:bCs/>
          <w:sz w:val="32"/>
          <w:szCs w:val="32"/>
          <w:highlight w:val="none"/>
          <w:lang w:eastAsia="zh-CN"/>
        </w:rPr>
        <w:t>级预算单位</w:t>
      </w:r>
      <w:r>
        <w:rPr>
          <w:rFonts w:hint="eastAsia" w:ascii="Times New Roman"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w:t>
      </w:r>
      <w:r>
        <w:rPr>
          <w:rFonts w:hint="eastAsia" w:ascii="Times New Roman" w:cs="Times New Roman"/>
          <w:b w:val="0"/>
          <w:bCs/>
          <w:sz w:val="32"/>
          <w:szCs w:val="32"/>
          <w:highlight w:val="none"/>
          <w:lang w:val="en-US" w:eastAsia="zh-CN"/>
        </w:rPr>
        <w:t>为</w:t>
      </w:r>
      <w:r>
        <w:rPr>
          <w:rFonts w:hint="eastAsia" w:ascii="Times New Roman" w:hAnsi="Times New Roman" w:cs="Times New Roman"/>
          <w:b w:val="0"/>
          <w:bCs/>
          <w:sz w:val="32"/>
          <w:szCs w:val="32"/>
          <w:highlight w:val="none"/>
          <w:lang w:val="en-US" w:eastAsia="zh-CN"/>
        </w:rPr>
        <w:t>泸县百和镇便民服务中心</w:t>
      </w:r>
      <w:r>
        <w:rPr>
          <w:rFonts w:hint="eastAsia" w:ascii="Times New Roman" w:cs="Times New Roman"/>
          <w:b w:val="0"/>
          <w:bCs/>
          <w:sz w:val="32"/>
          <w:szCs w:val="32"/>
          <w:highlight w:val="none"/>
          <w:lang w:val="en-US" w:eastAsia="zh-CN"/>
        </w:rPr>
        <w:t>。</w:t>
      </w:r>
    </w:p>
    <w:p>
      <w:pPr>
        <w:pStyle w:val="5"/>
        <w:pageBreakBefore w:val="0"/>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百和镇2022</w:t>
      </w:r>
      <w:r>
        <w:rPr>
          <w:rFonts w:hint="eastAsia" w:ascii="仿宋" w:hAnsi="仿宋" w:eastAsia="仿宋"/>
          <w:sz w:val="32"/>
          <w:szCs w:val="32"/>
        </w:rPr>
        <w:t>年度部门决算编制范围的二级预算单位包括：</w:t>
      </w:r>
    </w:p>
    <w:p>
      <w:pPr>
        <w:pStyle w:val="5"/>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val="en-US" w:eastAsia="zh-CN"/>
        </w:rPr>
      </w:pPr>
      <w:bookmarkStart w:id="22" w:name="_Toc15377433"/>
      <w:bookmarkStart w:id="23" w:name="_Toc15378449"/>
      <w:bookmarkStart w:id="24" w:name="_Toc15306276"/>
      <w:bookmarkStart w:id="25" w:name="_Toc15377202"/>
      <w:r>
        <w:rPr>
          <w:rFonts w:hint="eastAsia" w:ascii="仿宋" w:hAnsi="仿宋" w:eastAsia="仿宋"/>
          <w:sz w:val="32"/>
          <w:szCs w:val="32"/>
          <w:lang w:val="en-US" w:eastAsia="zh-CN"/>
        </w:rPr>
        <w:t>1、</w:t>
      </w:r>
      <w:r>
        <w:rPr>
          <w:rFonts w:hint="eastAsia" w:ascii="仿宋" w:hAnsi="仿宋" w:eastAsia="仿宋"/>
          <w:sz w:val="32"/>
          <w:szCs w:val="32"/>
          <w:lang w:eastAsia="zh-CN"/>
        </w:rPr>
        <w:t>行政单位：</w:t>
      </w:r>
      <w:bookmarkEnd w:id="22"/>
      <w:bookmarkEnd w:id="23"/>
      <w:bookmarkEnd w:id="24"/>
      <w:bookmarkEnd w:id="25"/>
      <w:bookmarkStart w:id="26" w:name="_Toc15378450"/>
      <w:bookmarkStart w:id="27" w:name="_Toc15306277"/>
      <w:bookmarkStart w:id="28" w:name="_Toc15377203"/>
      <w:bookmarkStart w:id="29" w:name="_Toc15377434"/>
      <w:r>
        <w:rPr>
          <w:rFonts w:hint="eastAsia" w:ascii="Times New Roman" w:hAnsi="Times New Roman" w:cs="Times New Roman"/>
          <w:b w:val="0"/>
          <w:bCs/>
          <w:sz w:val="32"/>
          <w:szCs w:val="32"/>
          <w:highlight w:val="none"/>
          <w:lang w:val="en-US" w:eastAsia="zh-CN"/>
        </w:rPr>
        <w:t>泸县百和镇人民政府</w:t>
      </w:r>
      <w:bookmarkEnd w:id="26"/>
      <w:bookmarkEnd w:id="27"/>
      <w:bookmarkEnd w:id="28"/>
      <w:bookmarkEnd w:id="29"/>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事业单位：</w:t>
      </w:r>
      <w:r>
        <w:rPr>
          <w:rFonts w:hint="eastAsia" w:ascii="Times New Roman" w:hAnsi="Times New Roman" w:cs="Times New Roman"/>
          <w:b w:val="0"/>
          <w:bCs/>
          <w:sz w:val="32"/>
          <w:szCs w:val="32"/>
          <w:highlight w:val="none"/>
          <w:lang w:val="en-US" w:eastAsia="zh-CN"/>
        </w:rPr>
        <w:t>泸县百和镇便民服务中心</w:t>
      </w:r>
    </w:p>
    <w:p>
      <w:pPr>
        <w:pStyle w:val="5"/>
        <w:pageBreakBefore w:val="0"/>
        <w:kinsoku/>
        <w:wordWrap/>
        <w:overflowPunct/>
        <w:topLinePunct w:val="0"/>
        <w:autoSpaceDE/>
        <w:autoSpaceDN/>
        <w:bidi w:val="0"/>
        <w:adjustRightInd w:val="0"/>
        <w:spacing w:beforeLines="0" w:line="560" w:lineRule="exact"/>
        <w:ind w:firstLine="640" w:firstLineChars="200"/>
        <w:jc w:val="both"/>
        <w:textAlignment w:val="auto"/>
        <w:outlineLvl w:val="9"/>
        <w:rPr>
          <w:rFonts w:hint="eastAsia" w:ascii="Times New Roman" w:hAnsi="Times New Roman" w:cs="Times New Roman"/>
          <w:b w:val="0"/>
          <w:bCs/>
          <w:sz w:val="32"/>
          <w:szCs w:val="32"/>
          <w:highlight w:val="none"/>
          <w:lang w:val="en-US" w:eastAsia="zh-CN"/>
        </w:rPr>
      </w:pPr>
    </w:p>
    <w:p>
      <w:pPr>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Style w:val="24"/>
          <w:rFonts w:ascii="黑体" w:hAnsi="黑体" w:eastAsia="黑体"/>
          <w:b w:val="0"/>
          <w:bCs/>
        </w:rPr>
      </w:pPr>
      <w:bookmarkStart w:id="30" w:name="_Toc15377204"/>
      <w:bookmarkStart w:id="31" w:name="_Toc15396602"/>
      <w:r>
        <w:rPr>
          <w:rStyle w:val="24"/>
          <w:rFonts w:hint="eastAsia" w:ascii="黑体" w:hAnsi="黑体" w:eastAsia="黑体"/>
          <w:b w:val="0"/>
          <w:bCs/>
        </w:rPr>
        <w:t xml:space="preserve">第二部分 </w:t>
      </w:r>
      <w:r>
        <w:rPr>
          <w:rStyle w:val="24"/>
          <w:rFonts w:hint="eastAsia" w:ascii="黑体" w:hAnsi="黑体" w:eastAsia="黑体"/>
          <w:b w:val="0"/>
          <w:bCs/>
          <w:lang w:eastAsia="zh-CN"/>
        </w:rPr>
        <w:t>2022</w:t>
      </w:r>
      <w:r>
        <w:rPr>
          <w:rStyle w:val="24"/>
          <w:rFonts w:hint="eastAsia" w:ascii="黑体" w:hAnsi="黑体" w:eastAsia="黑体"/>
          <w:b w:val="0"/>
          <w:bCs/>
        </w:rPr>
        <w:t>年度部门决算情况说明</w:t>
      </w:r>
      <w:bookmarkEnd w:id="30"/>
      <w:bookmarkEnd w:id="31"/>
    </w:p>
    <w:p>
      <w:pPr>
        <w:pageBreakBefore w:val="0"/>
        <w:widowControl w:val="0"/>
        <w:kinsoku/>
        <w:wordWrap/>
        <w:overflowPunct/>
        <w:topLinePunct w:val="0"/>
        <w:autoSpaceDE/>
        <w:autoSpaceDN/>
        <w:bidi w:val="0"/>
        <w:adjustRightInd/>
        <w:snapToGrid/>
        <w:spacing w:line="560" w:lineRule="exact"/>
        <w:ind w:left="0" w:right="0" w:firstLine="420" w:firstLineChars="200"/>
        <w:jc w:val="both"/>
        <w:textAlignment w:val="auto"/>
        <w:outlineLvl w:val="9"/>
      </w:pPr>
    </w:p>
    <w:p>
      <w:pPr>
        <w:pStyle w:val="23"/>
        <w:pageBreakBefore w:val="0"/>
        <w:widowControl w:val="0"/>
        <w:numPr>
          <w:ilvl w:val="0"/>
          <w:numId w:val="2"/>
        </w:numPr>
        <w:kinsoku/>
        <w:wordWrap/>
        <w:overflowPunct/>
        <w:topLinePunct w:val="0"/>
        <w:autoSpaceDE/>
        <w:autoSpaceDN/>
        <w:bidi w:val="0"/>
        <w:adjustRightInd/>
        <w:snapToGrid/>
        <w:spacing w:line="560" w:lineRule="exact"/>
        <w:ind w:left="0" w:right="0" w:firstLine="640" w:firstLineChars="200"/>
        <w:jc w:val="both"/>
        <w:textAlignment w:val="auto"/>
        <w:outlineLvl w:val="9"/>
        <w:rPr>
          <w:rStyle w:val="25"/>
          <w:rFonts w:ascii="黑体" w:hAnsi="黑体" w:eastAsia="黑体"/>
          <w:b w:val="0"/>
        </w:rPr>
      </w:pPr>
      <w:bookmarkStart w:id="32" w:name="_Toc15377205"/>
      <w:bookmarkStart w:id="33"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32"/>
      <w:bookmarkEnd w:id="33"/>
      <w:r>
        <w:rPr>
          <w:rFonts w:hint="eastAsia" w:ascii="仿宋" w:hAnsi="仿宋" w:eastAsia="仿宋"/>
          <w:sz w:val="32"/>
          <w:szCs w:val="32"/>
        </w:rPr>
        <w:t>6,238.99</w:t>
      </w:r>
    </w:p>
    <w:p>
      <w:pPr>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lang w:eastAsia="zh-CN"/>
        </w:rPr>
        <w:t>2022</w:t>
      </w:r>
      <w:r>
        <w:rPr>
          <w:rFonts w:hint="eastAsia" w:ascii="仿宋" w:hAnsi="仿宋" w:eastAsia="仿宋"/>
          <w:sz w:val="32"/>
          <w:szCs w:val="32"/>
        </w:rPr>
        <w:t>年度收</w:t>
      </w:r>
      <w:r>
        <w:rPr>
          <w:rFonts w:hint="eastAsia" w:ascii="仿宋" w:hAnsi="仿宋" w:eastAsia="仿宋"/>
          <w:sz w:val="32"/>
          <w:szCs w:val="32"/>
          <w:lang w:eastAsia="zh-CN"/>
        </w:rPr>
        <w:t>入、支出</w:t>
      </w:r>
      <w:r>
        <w:rPr>
          <w:rFonts w:hint="eastAsia" w:ascii="仿宋" w:hAnsi="仿宋" w:eastAsia="仿宋"/>
          <w:sz w:val="32"/>
          <w:szCs w:val="32"/>
        </w:rPr>
        <w:t>总计</w:t>
      </w:r>
      <w:r>
        <w:rPr>
          <w:rFonts w:hint="eastAsia" w:ascii="仿宋" w:hAnsi="仿宋" w:eastAsia="仿宋"/>
          <w:sz w:val="32"/>
          <w:szCs w:val="32"/>
          <w:lang w:val="en-US" w:eastAsia="zh-CN"/>
        </w:rPr>
        <w:t>2,803.32</w:t>
      </w:r>
      <w:r>
        <w:rPr>
          <w:rFonts w:hint="eastAsia" w:ascii="仿宋" w:hAnsi="仿宋" w:eastAsia="仿宋"/>
          <w:sz w:val="32"/>
          <w:szCs w:val="32"/>
        </w:rPr>
        <w:t>万元。与2020年相比，收</w:t>
      </w:r>
      <w:r>
        <w:rPr>
          <w:rFonts w:hint="eastAsia" w:ascii="仿宋" w:hAnsi="仿宋" w:eastAsia="仿宋"/>
          <w:sz w:val="32"/>
          <w:szCs w:val="32"/>
          <w:lang w:eastAsia="zh-CN"/>
        </w:rPr>
        <w:t>支</w:t>
      </w:r>
      <w:r>
        <w:rPr>
          <w:rFonts w:hint="eastAsia" w:ascii="仿宋" w:hAnsi="仿宋" w:eastAsia="仿宋"/>
          <w:sz w:val="32"/>
          <w:szCs w:val="32"/>
        </w:rPr>
        <w:t>总计减少</w:t>
      </w:r>
      <w:r>
        <w:rPr>
          <w:rFonts w:hint="eastAsia" w:ascii="仿宋" w:hAnsi="仿宋" w:eastAsia="仿宋"/>
          <w:sz w:val="32"/>
          <w:szCs w:val="32"/>
          <w:lang w:val="en-US" w:eastAsia="zh-CN"/>
        </w:rPr>
        <w:t>3,435.67</w:t>
      </w:r>
      <w:r>
        <w:rPr>
          <w:rFonts w:hint="eastAsia" w:ascii="仿宋" w:hAnsi="仿宋" w:eastAsia="仿宋"/>
          <w:sz w:val="32"/>
          <w:szCs w:val="32"/>
        </w:rPr>
        <w:t>万元，下降</w:t>
      </w:r>
      <w:r>
        <w:rPr>
          <w:rFonts w:hint="eastAsia" w:ascii="仿宋" w:hAnsi="仿宋" w:eastAsia="仿宋"/>
          <w:sz w:val="32"/>
          <w:szCs w:val="32"/>
          <w:lang w:val="en-US" w:eastAsia="zh-CN"/>
        </w:rPr>
        <w:t>55.07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本年度学校单独进行部门决算，故本年度收入、支出总体下降。</w:t>
      </w:r>
    </w:p>
    <w:p>
      <w:pPr>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仿宋" w:hAnsi="仿宋" w:eastAsia="仿宋"/>
          <w:sz w:val="32"/>
          <w:szCs w:val="32"/>
        </w:rPr>
      </w:pPr>
    </w:p>
    <w:p>
      <w:pPr>
        <w:pStyle w:val="5"/>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4048125"/>
            <wp:effectExtent l="0" t="0" r="6350" b="9525"/>
            <wp:docPr id="1" name="图表 1" descr="单位：万元" title="收入、支出总计变动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5"/>
      </w:pPr>
    </w:p>
    <w:p>
      <w:pPr>
        <w:pStyle w:val="23"/>
        <w:numPr>
          <w:ilvl w:val="0"/>
          <w:numId w:val="2"/>
        </w:numPr>
        <w:spacing w:line="600" w:lineRule="exact"/>
        <w:ind w:firstLineChars="0"/>
        <w:outlineLvl w:val="1"/>
        <w:rPr>
          <w:rStyle w:val="25"/>
          <w:rFonts w:ascii="黑体" w:hAnsi="黑体" w:eastAsia="黑体"/>
          <w:b w:val="0"/>
        </w:rPr>
      </w:pPr>
      <w:bookmarkStart w:id="34" w:name="_Toc15396604"/>
      <w:bookmarkStart w:id="35" w:name="_Toc15377206"/>
      <w:r>
        <w:rPr>
          <w:rFonts w:hint="eastAsia" w:ascii="黑体" w:hAnsi="黑体" w:eastAsia="黑体"/>
          <w:sz w:val="32"/>
          <w:szCs w:val="32"/>
        </w:rPr>
        <w:t>收</w:t>
      </w:r>
      <w:r>
        <w:rPr>
          <w:rStyle w:val="25"/>
          <w:rFonts w:hint="eastAsia" w:ascii="黑体" w:hAnsi="黑体" w:eastAsia="黑体"/>
          <w:b w:val="0"/>
        </w:rPr>
        <w:t>入决算情况说明</w:t>
      </w:r>
      <w:bookmarkEnd w:id="34"/>
      <w:bookmarkEnd w:id="35"/>
    </w:p>
    <w:p>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t>2022</w:t>
      </w:r>
      <w:r>
        <w:rPr>
          <w:rFonts w:hint="eastAsia" w:ascii="仿宋" w:hAnsi="仿宋" w:eastAsia="仿宋"/>
          <w:sz w:val="32"/>
          <w:szCs w:val="32"/>
        </w:rPr>
        <w:t>年本年收入</w:t>
      </w:r>
      <w:r>
        <w:rPr>
          <w:rFonts w:hint="eastAsia" w:ascii="仿宋" w:hAnsi="仿宋" w:eastAsia="仿宋"/>
          <w:sz w:val="32"/>
          <w:szCs w:val="32"/>
          <w:lang w:eastAsia="zh-CN"/>
        </w:rPr>
        <w:t>总</w:t>
      </w:r>
      <w:r>
        <w:rPr>
          <w:rFonts w:hint="eastAsia" w:ascii="仿宋" w:hAnsi="仿宋" w:eastAsia="仿宋"/>
          <w:sz w:val="32"/>
          <w:szCs w:val="32"/>
        </w:rPr>
        <w:t>计</w:t>
      </w:r>
      <w:r>
        <w:rPr>
          <w:rFonts w:hint="eastAsia" w:ascii="仿宋" w:hAnsi="仿宋" w:eastAsia="仿宋"/>
          <w:sz w:val="32"/>
          <w:szCs w:val="32"/>
          <w:lang w:val="en-US" w:eastAsia="zh-CN"/>
        </w:rPr>
        <w:t>2,803.32</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w:t>
      </w:r>
      <w:r>
        <w:rPr>
          <w:rFonts w:hint="eastAsia" w:ascii="仿宋" w:hAnsi="仿宋" w:eastAsia="仿宋"/>
          <w:sz w:val="32"/>
          <w:szCs w:val="32"/>
        </w:rPr>
        <w:t>916.68万元，占</w:t>
      </w:r>
      <w:r>
        <w:rPr>
          <w:rFonts w:hint="eastAsia" w:ascii="仿宋" w:hAnsi="仿宋" w:eastAsia="仿宋"/>
          <w:sz w:val="32"/>
          <w:szCs w:val="32"/>
          <w:lang w:val="en-US" w:eastAsia="zh-CN"/>
        </w:rPr>
        <w:t>68.37</w:t>
      </w:r>
      <w:r>
        <w:rPr>
          <w:rFonts w:ascii="仿宋" w:hAnsi="仿宋" w:eastAsia="仿宋"/>
          <w:sz w:val="32"/>
          <w:szCs w:val="32"/>
        </w:rPr>
        <w:t>%</w:t>
      </w:r>
      <w:r>
        <w:rPr>
          <w:rFonts w:hint="eastAsia" w:ascii="仿宋" w:hAnsi="仿宋" w:eastAsia="仿宋"/>
          <w:sz w:val="32"/>
          <w:szCs w:val="32"/>
        </w:rPr>
        <w:t>；政府性基金预算财政拨款收入876.13万元，占</w:t>
      </w:r>
      <w:r>
        <w:rPr>
          <w:rFonts w:hint="eastAsia" w:ascii="仿宋" w:hAnsi="仿宋" w:eastAsia="仿宋"/>
          <w:sz w:val="32"/>
          <w:szCs w:val="32"/>
          <w:lang w:val="en-US" w:eastAsia="zh-CN"/>
        </w:rPr>
        <w:t>31.25</w:t>
      </w:r>
      <w:r>
        <w:rPr>
          <w:rFonts w:ascii="仿宋" w:hAnsi="仿宋" w:eastAsia="仿宋"/>
          <w:sz w:val="32"/>
          <w:szCs w:val="32"/>
        </w:rPr>
        <w:t>%</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10.51万元，占0.38%</w:t>
      </w:r>
      <w:r>
        <w:rPr>
          <w:rFonts w:hint="eastAsia" w:ascii="仿宋" w:hAnsi="仿宋" w:eastAsia="仿宋"/>
          <w:sz w:val="32"/>
          <w:szCs w:val="32"/>
          <w:lang w:eastAsia="zh-CN"/>
        </w:rPr>
        <w:t>。</w:t>
      </w:r>
    </w:p>
    <w:p>
      <w:pPr>
        <w:pStyle w:val="5"/>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248920</wp:posOffset>
            </wp:positionH>
            <wp:positionV relativeFrom="paragraph">
              <wp:posOffset>55245</wp:posOffset>
            </wp:positionV>
            <wp:extent cx="4860925" cy="2619375"/>
            <wp:effectExtent l="6350" t="6350" r="9525" b="222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spacing w:line="600" w:lineRule="exact"/>
        <w:jc w:val="both"/>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w:t>
      </w:r>
    </w:p>
    <w:p>
      <w:pPr>
        <w:pStyle w:val="5"/>
        <w:rPr>
          <w:rFonts w:hint="eastAsia"/>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Style w:val="25"/>
          <w:rFonts w:ascii="黑体" w:hAnsi="黑体" w:eastAsia="黑体"/>
          <w:b w:val="0"/>
        </w:rPr>
      </w:pPr>
      <w:bookmarkStart w:id="36" w:name="_Toc15377207"/>
      <w:bookmarkStart w:id="37"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 w:hAnsi="仿宋" w:eastAsia="仿宋"/>
          <w:sz w:val="32"/>
          <w:szCs w:val="32"/>
          <w:shd w:val="pct10" w:color="auto" w:fill="FFFFFF"/>
        </w:rPr>
      </w:pPr>
      <w:r>
        <w:rPr>
          <w:rFonts w:hint="eastAsia" w:ascii="仿宋" w:hAnsi="仿宋" w:eastAsia="仿宋"/>
          <w:sz w:val="32"/>
          <w:szCs w:val="32"/>
          <w:lang w:eastAsia="zh-CN"/>
        </w:rPr>
        <w:t>2022</w:t>
      </w:r>
      <w:r>
        <w:rPr>
          <w:rFonts w:hint="eastAsia" w:ascii="仿宋" w:hAnsi="仿宋" w:eastAsia="仿宋"/>
          <w:sz w:val="32"/>
          <w:szCs w:val="32"/>
        </w:rPr>
        <w:t>年本年支出合计</w:t>
      </w:r>
      <w:r>
        <w:rPr>
          <w:rFonts w:hint="eastAsia" w:ascii="仿宋" w:hAnsi="仿宋" w:eastAsia="仿宋"/>
          <w:sz w:val="32"/>
          <w:szCs w:val="32"/>
          <w:lang w:val="en-US" w:eastAsia="zh-CN"/>
        </w:rPr>
        <w:t>2,803.32</w:t>
      </w:r>
      <w:r>
        <w:rPr>
          <w:rFonts w:hint="eastAsia" w:ascii="仿宋" w:hAnsi="仿宋" w:eastAsia="仿宋"/>
          <w:sz w:val="32"/>
          <w:szCs w:val="32"/>
        </w:rPr>
        <w:t>万元，其中：基本支出</w:t>
      </w:r>
      <w:r>
        <w:rPr>
          <w:rFonts w:hint="eastAsia" w:ascii="仿宋" w:hAnsi="仿宋" w:eastAsia="仿宋"/>
          <w:sz w:val="32"/>
          <w:szCs w:val="32"/>
          <w:lang w:val="en-US" w:eastAsia="zh-CN"/>
        </w:rPr>
        <w:t>1,114.56</w:t>
      </w:r>
      <w:r>
        <w:rPr>
          <w:rFonts w:hint="eastAsia" w:ascii="仿宋" w:hAnsi="仿宋" w:eastAsia="仿宋"/>
          <w:sz w:val="32"/>
          <w:szCs w:val="32"/>
        </w:rPr>
        <w:t>万元，占</w:t>
      </w:r>
      <w:r>
        <w:rPr>
          <w:rFonts w:hint="eastAsia" w:ascii="仿宋" w:hAnsi="仿宋" w:eastAsia="仿宋"/>
          <w:sz w:val="32"/>
          <w:szCs w:val="32"/>
          <w:lang w:val="en-US" w:eastAsia="zh-CN"/>
        </w:rPr>
        <w:t>39.76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1,688.76</w:t>
      </w:r>
      <w:r>
        <w:rPr>
          <w:rFonts w:hint="eastAsia" w:ascii="仿宋" w:hAnsi="仿宋" w:eastAsia="仿宋"/>
          <w:sz w:val="32"/>
          <w:szCs w:val="32"/>
        </w:rPr>
        <w:t>万元，占</w:t>
      </w:r>
      <w:r>
        <w:rPr>
          <w:rFonts w:hint="eastAsia" w:ascii="仿宋" w:hAnsi="仿宋" w:eastAsia="仿宋"/>
          <w:sz w:val="32"/>
          <w:szCs w:val="32"/>
          <w:lang w:val="en-US" w:eastAsia="zh-CN"/>
        </w:rPr>
        <w:t>60.24</w:t>
      </w:r>
      <w:r>
        <w:rPr>
          <w:rFonts w:ascii="仿宋" w:hAnsi="仿宋" w:eastAsia="仿宋"/>
          <w:sz w:val="32"/>
          <w:szCs w:val="32"/>
        </w:rPr>
        <w:t>%</w:t>
      </w:r>
      <w:r>
        <w:rPr>
          <w:rFonts w:hint="eastAsia" w:ascii="仿宋" w:hAnsi="仿宋" w:eastAsia="仿宋"/>
          <w:sz w:val="32"/>
          <w:szCs w:val="32"/>
        </w:rPr>
        <w:t>。</w:t>
      </w:r>
    </w:p>
    <w:p>
      <w:pPr>
        <w:pStyle w:val="5"/>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744855</wp:posOffset>
            </wp:positionH>
            <wp:positionV relativeFrom="paragraph">
              <wp:posOffset>13335</wp:posOffset>
            </wp:positionV>
            <wp:extent cx="4013835" cy="2340610"/>
            <wp:effectExtent l="6350" t="6350" r="18415" b="1524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5"/>
      </w:pPr>
    </w:p>
    <w:p>
      <w:pPr>
        <w:pStyle w:val="5"/>
      </w:pPr>
    </w:p>
    <w:p>
      <w:pPr>
        <w:pStyle w:val="5"/>
      </w:pPr>
    </w:p>
    <w:p>
      <w:pPr>
        <w:pStyle w:val="5"/>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outlineLvl w:val="1"/>
        <w:rPr>
          <w:rFonts w:hint="eastAsia" w:ascii="黑体" w:hAnsi="黑体" w:eastAsia="黑体"/>
          <w:sz w:val="32"/>
          <w:szCs w:val="32"/>
        </w:rPr>
      </w:pPr>
      <w:bookmarkStart w:id="38" w:name="_Toc15396606"/>
      <w:bookmarkStart w:id="39"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8"/>
      <w:bookmarkEnd w:id="39"/>
    </w:p>
    <w:p>
      <w:pPr>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年度</w:t>
      </w:r>
      <w:r>
        <w:rPr>
          <w:rFonts w:hint="eastAsia" w:ascii="仿宋" w:hAnsi="仿宋" w:eastAsia="仿宋"/>
          <w:sz w:val="32"/>
          <w:szCs w:val="32"/>
          <w:lang w:eastAsia="zh-CN"/>
        </w:rPr>
        <w:t>财政拨款</w:t>
      </w:r>
      <w:r>
        <w:rPr>
          <w:rFonts w:hint="eastAsia" w:ascii="仿宋" w:hAnsi="仿宋" w:eastAsia="仿宋"/>
          <w:sz w:val="32"/>
          <w:szCs w:val="32"/>
        </w:rPr>
        <w:t>收</w:t>
      </w:r>
      <w:r>
        <w:rPr>
          <w:rFonts w:hint="eastAsia" w:ascii="仿宋" w:hAnsi="仿宋" w:eastAsia="仿宋"/>
          <w:sz w:val="32"/>
          <w:szCs w:val="32"/>
          <w:lang w:eastAsia="zh-CN"/>
        </w:rPr>
        <w:t>入、支出</w:t>
      </w:r>
      <w:r>
        <w:rPr>
          <w:rFonts w:hint="eastAsia" w:ascii="仿宋" w:hAnsi="仿宋" w:eastAsia="仿宋"/>
          <w:sz w:val="32"/>
          <w:szCs w:val="32"/>
        </w:rPr>
        <w:t>总计</w:t>
      </w:r>
      <w:r>
        <w:rPr>
          <w:rFonts w:hint="eastAsia" w:ascii="仿宋" w:hAnsi="仿宋" w:eastAsia="仿宋"/>
          <w:sz w:val="32"/>
          <w:szCs w:val="32"/>
          <w:lang w:val="en-US" w:eastAsia="zh-CN"/>
        </w:rPr>
        <w:t>2,803.32</w:t>
      </w:r>
      <w:r>
        <w:rPr>
          <w:rFonts w:hint="eastAsia" w:ascii="仿宋" w:hAnsi="仿宋" w:eastAsia="仿宋"/>
          <w:sz w:val="32"/>
          <w:szCs w:val="32"/>
        </w:rPr>
        <w:t>万元。与202</w:t>
      </w:r>
      <w:r>
        <w:rPr>
          <w:rFonts w:hint="eastAsia" w:ascii="仿宋" w:hAnsi="仿宋" w:eastAsia="仿宋"/>
          <w:sz w:val="32"/>
          <w:szCs w:val="32"/>
          <w:lang w:val="en-US" w:eastAsia="zh-CN"/>
        </w:rPr>
        <w:t>1</w:t>
      </w:r>
      <w:r>
        <w:rPr>
          <w:rFonts w:hint="eastAsia" w:ascii="仿宋" w:hAnsi="仿宋" w:eastAsia="仿宋"/>
          <w:sz w:val="32"/>
          <w:szCs w:val="32"/>
        </w:rPr>
        <w:t>年相比</w:t>
      </w:r>
      <w:r>
        <w:rPr>
          <w:rFonts w:hint="eastAsia" w:ascii="仿宋" w:hAnsi="仿宋" w:eastAsia="仿宋"/>
          <w:sz w:val="32"/>
          <w:szCs w:val="32"/>
          <w:lang w:eastAsia="zh-CN"/>
        </w:rPr>
        <w:t>，减少</w:t>
      </w:r>
      <w:r>
        <w:rPr>
          <w:rFonts w:hint="eastAsia" w:ascii="仿宋" w:hAnsi="仿宋" w:eastAsia="仿宋"/>
          <w:sz w:val="32"/>
          <w:szCs w:val="32"/>
          <w:lang w:val="en-US" w:eastAsia="zh-CN"/>
        </w:rPr>
        <w:t>3,435.67</w:t>
      </w:r>
      <w:r>
        <w:rPr>
          <w:rFonts w:hint="eastAsia" w:ascii="仿宋" w:hAnsi="仿宋" w:eastAsia="仿宋"/>
          <w:sz w:val="32"/>
          <w:szCs w:val="32"/>
        </w:rPr>
        <w:t>万元，下降</w:t>
      </w:r>
      <w:r>
        <w:rPr>
          <w:rFonts w:hint="eastAsia" w:ascii="仿宋" w:hAnsi="仿宋" w:eastAsia="仿宋"/>
          <w:sz w:val="32"/>
          <w:szCs w:val="32"/>
          <w:lang w:val="en-US" w:eastAsia="zh-CN"/>
        </w:rPr>
        <w:t>55.07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本年度学校单独进行部门决算，故本年度收入、支出总体下降。</w:t>
      </w:r>
    </w:p>
    <w:p>
      <w:pPr>
        <w:pStyle w:val="5"/>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080000" cy="4151630"/>
            <wp:effectExtent l="4445" t="4445" r="20955"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5"/>
          <w:rFonts w:ascii="黑体" w:hAnsi="黑体" w:eastAsia="黑体"/>
          <w:b w:val="0"/>
        </w:rPr>
      </w:pPr>
      <w:bookmarkStart w:id="40" w:name="_Toc15377209"/>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 w:hAnsi="仿宋" w:eastAsia="仿宋"/>
          <w:b/>
          <w:sz w:val="32"/>
          <w:szCs w:val="32"/>
          <w:lang w:val="en-US" w:eastAsia="zh-CN"/>
        </w:rPr>
      </w:pPr>
      <w:bookmarkStart w:id="42" w:name="_Toc15377210"/>
      <w:r>
        <w:rPr>
          <w:rFonts w:hint="eastAsia" w:ascii="仿宋" w:hAnsi="仿宋" w:eastAsia="仿宋"/>
          <w:b/>
          <w:sz w:val="32"/>
          <w:szCs w:val="32"/>
        </w:rPr>
        <w:t>（一）一般公共预算财政拨款支出决算总体情况</w:t>
      </w:r>
      <w:bookmarkEnd w:id="42"/>
      <w:r>
        <w:rPr>
          <w:rFonts w:hint="eastAsia" w:ascii="仿宋" w:hAnsi="仿宋" w:eastAsia="仿宋"/>
          <w:b/>
          <w:sz w:val="32"/>
          <w:szCs w:val="32"/>
          <w:lang w:val="en-US" w:eastAsia="zh-CN"/>
        </w:rPr>
        <w:t>5842.6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lang w:eastAsia="zh-CN"/>
        </w:rPr>
        <w:t>2022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1,927.19</w:t>
      </w:r>
      <w:r>
        <w:rPr>
          <w:rFonts w:hint="eastAsia" w:ascii="仿宋" w:hAnsi="仿宋" w:eastAsia="仿宋"/>
          <w:sz w:val="32"/>
          <w:szCs w:val="32"/>
        </w:rPr>
        <w:t>万元，占本年支出合计的</w:t>
      </w:r>
      <w:r>
        <w:rPr>
          <w:rFonts w:hint="eastAsia" w:ascii="仿宋" w:hAnsi="仿宋" w:eastAsia="仿宋"/>
          <w:sz w:val="32"/>
          <w:szCs w:val="32"/>
          <w:lang w:val="en-US" w:eastAsia="zh-CN"/>
        </w:rPr>
        <w:t>61.68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年相比，一般公共预算财政拨款支出减少</w:t>
      </w:r>
      <w:r>
        <w:rPr>
          <w:rFonts w:hint="eastAsia" w:ascii="仿宋" w:hAnsi="仿宋" w:eastAsia="仿宋"/>
          <w:sz w:val="32"/>
          <w:szCs w:val="32"/>
          <w:lang w:val="en-US" w:eastAsia="zh-CN"/>
        </w:rPr>
        <w:t>3,915.41</w:t>
      </w:r>
      <w:r>
        <w:rPr>
          <w:rFonts w:hint="eastAsia" w:ascii="仿宋" w:hAnsi="仿宋" w:eastAsia="仿宋"/>
          <w:sz w:val="32"/>
          <w:szCs w:val="32"/>
        </w:rPr>
        <w:t>万元，下降</w:t>
      </w:r>
      <w:r>
        <w:rPr>
          <w:rFonts w:hint="eastAsia" w:ascii="仿宋" w:hAnsi="仿宋" w:eastAsia="仿宋"/>
          <w:sz w:val="32"/>
          <w:szCs w:val="32"/>
          <w:lang w:val="en-US" w:eastAsia="zh-CN"/>
        </w:rPr>
        <w:t>67.01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本年度学校单独进行部门决算，故本年度</w:t>
      </w:r>
      <w:r>
        <w:rPr>
          <w:rFonts w:hint="eastAsia" w:ascii="仿宋" w:hAnsi="仿宋" w:eastAsia="仿宋"/>
          <w:sz w:val="32"/>
          <w:szCs w:val="32"/>
        </w:rPr>
        <w:t>一般公共预算财政拨款支出</w:t>
      </w:r>
      <w:r>
        <w:rPr>
          <w:rFonts w:hint="eastAsia" w:ascii="仿宋" w:hAnsi="仿宋" w:eastAsia="仿宋"/>
          <w:sz w:val="32"/>
          <w:szCs w:val="32"/>
          <w:highlight w:val="none"/>
          <w:lang w:eastAsia="zh-CN"/>
        </w:rPr>
        <w:t>下降。</w:t>
      </w:r>
    </w:p>
    <w:p>
      <w:pPr>
        <w:pStyle w:val="5"/>
        <w:jc w:val="center"/>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004310" cy="3199765"/>
            <wp:effectExtent l="4445" t="4445" r="1079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1,927.19</w:t>
      </w:r>
      <w:r>
        <w:rPr>
          <w:rFonts w:hint="eastAsia" w:ascii="仿宋" w:hAnsi="仿宋" w:eastAsia="仿宋"/>
          <w:sz w:val="32"/>
          <w:szCs w:val="32"/>
        </w:rPr>
        <w:t>万元，主要用于以下方面</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一般公共服务（类）</w:t>
      </w:r>
      <w:r>
        <w:rPr>
          <w:rFonts w:hint="eastAsia" w:ascii="仿宋" w:hAnsi="仿宋" w:eastAsia="仿宋"/>
          <w:sz w:val="32"/>
          <w:szCs w:val="32"/>
        </w:rPr>
        <w:t>支出961.25万元，占</w:t>
      </w:r>
      <w:r>
        <w:rPr>
          <w:rFonts w:hint="eastAsia" w:ascii="仿宋" w:hAnsi="仿宋" w:eastAsia="仿宋"/>
          <w:sz w:val="32"/>
          <w:szCs w:val="32"/>
          <w:lang w:val="en-US" w:eastAsia="zh-CN"/>
        </w:rPr>
        <w:t>49.88</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教育支出（类）</w:t>
      </w:r>
      <w:r>
        <w:rPr>
          <w:rFonts w:hint="eastAsia" w:ascii="仿宋" w:hAnsi="仿宋" w:eastAsia="仿宋"/>
          <w:sz w:val="32"/>
          <w:szCs w:val="32"/>
        </w:rPr>
        <w:t>支出</w:t>
      </w:r>
      <w:r>
        <w:rPr>
          <w:rFonts w:hint="eastAsia" w:ascii="仿宋" w:hAnsi="仿宋" w:eastAsia="仿宋"/>
          <w:sz w:val="32"/>
          <w:szCs w:val="32"/>
          <w:lang w:val="en-US" w:eastAsia="zh-CN"/>
        </w:rPr>
        <w:t>249.22</w:t>
      </w:r>
      <w:r>
        <w:rPr>
          <w:rFonts w:hint="eastAsia" w:ascii="仿宋" w:hAnsi="仿宋" w:eastAsia="仿宋"/>
          <w:sz w:val="32"/>
          <w:szCs w:val="32"/>
        </w:rPr>
        <w:t>万元，占</w:t>
      </w:r>
      <w:r>
        <w:rPr>
          <w:rFonts w:hint="eastAsia" w:ascii="仿宋" w:hAnsi="仿宋" w:eastAsia="仿宋"/>
          <w:sz w:val="32"/>
          <w:szCs w:val="32"/>
          <w:lang w:val="en-US" w:eastAsia="zh-CN"/>
        </w:rPr>
        <w:t>12.93</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65.13</w:t>
      </w:r>
      <w:r>
        <w:rPr>
          <w:rFonts w:hint="eastAsia" w:ascii="仿宋" w:hAnsi="仿宋" w:eastAsia="仿宋"/>
          <w:sz w:val="32"/>
          <w:szCs w:val="32"/>
        </w:rPr>
        <w:t>万元，占</w:t>
      </w:r>
      <w:r>
        <w:rPr>
          <w:rFonts w:hint="eastAsia" w:ascii="仿宋" w:hAnsi="仿宋" w:eastAsia="仿宋"/>
          <w:sz w:val="32"/>
          <w:szCs w:val="32"/>
          <w:lang w:val="en-US" w:eastAsia="zh-CN"/>
        </w:rPr>
        <w:t>3.38</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b/>
          <w:bCs/>
          <w:sz w:val="32"/>
          <w:szCs w:val="32"/>
        </w:rPr>
        <w:t>卫生健康（类）</w:t>
      </w:r>
      <w:r>
        <w:rPr>
          <w:rFonts w:hint="eastAsia" w:ascii="仿宋" w:hAnsi="仿宋" w:eastAsia="仿宋"/>
          <w:sz w:val="32"/>
          <w:szCs w:val="32"/>
        </w:rPr>
        <w:t>支出</w:t>
      </w:r>
      <w:r>
        <w:rPr>
          <w:rFonts w:hint="eastAsia" w:ascii="仿宋" w:hAnsi="仿宋" w:eastAsia="仿宋"/>
          <w:sz w:val="32"/>
          <w:szCs w:val="32"/>
          <w:lang w:val="en-US" w:eastAsia="zh-CN"/>
        </w:rPr>
        <w:t>39.73</w:t>
      </w:r>
      <w:r>
        <w:rPr>
          <w:rFonts w:hint="eastAsia" w:ascii="仿宋" w:hAnsi="仿宋" w:eastAsia="仿宋"/>
          <w:sz w:val="32"/>
          <w:szCs w:val="32"/>
        </w:rPr>
        <w:t>万元，占</w:t>
      </w:r>
      <w:r>
        <w:rPr>
          <w:rFonts w:hint="eastAsia" w:ascii="仿宋" w:hAnsi="仿宋" w:eastAsia="仿宋"/>
          <w:sz w:val="32"/>
          <w:szCs w:val="32"/>
          <w:lang w:val="en-US" w:eastAsia="zh-CN"/>
        </w:rPr>
        <w:t>2.06</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b/>
          <w:sz w:val="32"/>
          <w:szCs w:val="32"/>
        </w:rPr>
        <w:t>农林水（类）</w:t>
      </w:r>
      <w:r>
        <w:rPr>
          <w:rFonts w:hint="eastAsia" w:ascii="仿宋" w:hAnsi="仿宋" w:eastAsia="仿宋"/>
          <w:sz w:val="32"/>
          <w:szCs w:val="32"/>
        </w:rPr>
        <w:t>支出</w:t>
      </w:r>
      <w:r>
        <w:rPr>
          <w:rFonts w:hint="eastAsia" w:ascii="仿宋" w:hAnsi="仿宋" w:eastAsia="仿宋"/>
          <w:sz w:val="32"/>
          <w:szCs w:val="32"/>
          <w:lang w:val="en-US" w:eastAsia="zh-CN"/>
        </w:rPr>
        <w:t>515.01</w:t>
      </w:r>
      <w:r>
        <w:rPr>
          <w:rFonts w:hint="eastAsia" w:ascii="仿宋" w:hAnsi="仿宋" w:eastAsia="仿宋"/>
          <w:sz w:val="32"/>
          <w:szCs w:val="32"/>
        </w:rPr>
        <w:t>万元，占</w:t>
      </w:r>
      <w:r>
        <w:rPr>
          <w:rFonts w:hint="eastAsia" w:ascii="仿宋" w:hAnsi="仿宋" w:eastAsia="仿宋"/>
          <w:sz w:val="32"/>
          <w:szCs w:val="32"/>
          <w:lang w:val="en-US" w:eastAsia="zh-CN"/>
        </w:rPr>
        <w:t>26.72</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b/>
          <w:sz w:val="32"/>
          <w:szCs w:val="32"/>
        </w:rPr>
        <w:t>资源勘探工业信息等支出（类）</w:t>
      </w:r>
      <w:r>
        <w:rPr>
          <w:rFonts w:hint="eastAsia" w:ascii="仿宋" w:hAnsi="仿宋" w:eastAsia="仿宋"/>
          <w:sz w:val="32"/>
          <w:szCs w:val="32"/>
        </w:rPr>
        <w:t>支出</w:t>
      </w:r>
      <w:r>
        <w:rPr>
          <w:rFonts w:hint="eastAsia" w:ascii="仿宋" w:hAnsi="仿宋" w:eastAsia="仿宋"/>
          <w:sz w:val="32"/>
          <w:szCs w:val="32"/>
          <w:lang w:val="en-US" w:eastAsia="zh-CN"/>
        </w:rPr>
        <w:t>48.40</w:t>
      </w:r>
      <w:r>
        <w:rPr>
          <w:rFonts w:hint="eastAsia" w:ascii="仿宋" w:hAnsi="仿宋" w:eastAsia="仿宋"/>
          <w:sz w:val="32"/>
          <w:szCs w:val="32"/>
        </w:rPr>
        <w:t>万元，占</w:t>
      </w:r>
      <w:r>
        <w:rPr>
          <w:rFonts w:hint="eastAsia" w:ascii="仿宋" w:hAnsi="仿宋" w:eastAsia="仿宋"/>
          <w:sz w:val="32"/>
          <w:szCs w:val="32"/>
          <w:lang w:val="en-US" w:eastAsia="zh-CN"/>
        </w:rPr>
        <w:t>2.51</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b/>
          <w:sz w:val="32"/>
          <w:szCs w:val="32"/>
        </w:rPr>
      </w:pPr>
      <w:r>
        <w:rPr>
          <w:rFonts w:hint="eastAsia" w:ascii="仿宋" w:hAnsi="仿宋" w:eastAsia="仿宋"/>
          <w:b/>
          <w:sz w:val="32"/>
          <w:szCs w:val="32"/>
        </w:rPr>
        <w:t>住房保障</w:t>
      </w:r>
      <w:r>
        <w:rPr>
          <w:rFonts w:hint="eastAsia" w:ascii="仿宋" w:hAnsi="仿宋" w:eastAsia="仿宋"/>
          <w:b/>
          <w:sz w:val="32"/>
          <w:szCs w:val="32"/>
          <w:lang w:eastAsia="zh-CN"/>
        </w:rPr>
        <w:t>（类）</w:t>
      </w:r>
      <w:r>
        <w:rPr>
          <w:rFonts w:hint="eastAsia" w:ascii="仿宋" w:hAnsi="仿宋" w:eastAsia="仿宋"/>
          <w:sz w:val="32"/>
          <w:szCs w:val="32"/>
        </w:rPr>
        <w:t>支出</w:t>
      </w:r>
      <w:r>
        <w:rPr>
          <w:rFonts w:hint="eastAsia" w:ascii="仿宋" w:hAnsi="仿宋" w:eastAsia="仿宋"/>
          <w:sz w:val="32"/>
          <w:szCs w:val="32"/>
          <w:lang w:val="en-US" w:eastAsia="zh-CN"/>
        </w:rPr>
        <w:t>48.45</w:t>
      </w:r>
      <w:r>
        <w:rPr>
          <w:rFonts w:hint="eastAsia" w:ascii="仿宋" w:hAnsi="仿宋" w:eastAsia="仿宋"/>
          <w:sz w:val="32"/>
          <w:szCs w:val="32"/>
        </w:rPr>
        <w:t>万元，占</w:t>
      </w:r>
      <w:r>
        <w:rPr>
          <w:rFonts w:hint="eastAsia" w:ascii="仿宋" w:hAnsi="仿宋" w:eastAsia="仿宋"/>
          <w:sz w:val="32"/>
          <w:szCs w:val="32"/>
          <w:lang w:val="en-US" w:eastAsia="zh-CN"/>
        </w:rPr>
        <w:t>2.51</w:t>
      </w:r>
      <w:r>
        <w:rPr>
          <w:rFonts w:ascii="仿宋" w:hAnsi="仿宋" w:eastAsia="仿宋"/>
          <w:sz w:val="32"/>
          <w:szCs w:val="32"/>
        </w:rPr>
        <w:t>%</w:t>
      </w:r>
      <w:r>
        <w:rPr>
          <w:rFonts w:hint="eastAsia" w:ascii="仿宋" w:hAnsi="仿宋" w:eastAsia="仿宋"/>
          <w:sz w:val="32"/>
          <w:szCs w:val="32"/>
        </w:rPr>
        <w:t>。</w:t>
      </w:r>
    </w:p>
    <w:p>
      <w:pPr>
        <w:pStyle w:val="5"/>
        <w:keepNext w:val="0"/>
        <w:keepLines w:val="0"/>
        <w:pageBreakBefore w:val="0"/>
        <w:widowControl w:val="0"/>
        <w:kinsoku/>
        <w:wordWrap/>
        <w:overflowPunct/>
        <w:topLinePunct w:val="0"/>
        <w:autoSpaceDE/>
        <w:autoSpaceDN/>
        <w:bidi w:val="0"/>
        <w:adjustRightInd/>
        <w:snapToGrid/>
        <w:spacing w:beforeLines="0" w:line="560" w:lineRule="exact"/>
        <w:textAlignment w:val="auto"/>
        <w:rPr>
          <w:rFonts w:hint="eastAsia" w:ascii="仿宋" w:hAnsi="仿宋" w:eastAsia="仿宋"/>
          <w:b/>
          <w:sz w:val="32"/>
          <w:szCs w:val="32"/>
        </w:rPr>
      </w:pPr>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-224155</wp:posOffset>
            </wp:positionH>
            <wp:positionV relativeFrom="paragraph">
              <wp:posOffset>59055</wp:posOffset>
            </wp:positionV>
            <wp:extent cx="5566410" cy="3819525"/>
            <wp:effectExtent l="4445" t="4445" r="10795"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sz w:val="32"/>
          <w:szCs w:val="32"/>
        </w:rPr>
      </w:pPr>
    </w:p>
    <w:p>
      <w:pPr>
        <w:spacing w:line="600" w:lineRule="exact"/>
        <w:outlineLvl w:val="2"/>
        <w:rPr>
          <w:rFonts w:hint="eastAsia" w:ascii="仿宋" w:hAnsi="仿宋" w:eastAsia="仿宋"/>
          <w:b/>
          <w:sz w:val="32"/>
          <w:szCs w:val="32"/>
        </w:rPr>
      </w:pPr>
      <w:bookmarkStart w:id="44" w:name="_Toc1537721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sz w:val="32"/>
          <w:szCs w:val="32"/>
        </w:rPr>
      </w:pPr>
      <w:bookmarkStart w:id="45" w:name="_Toc15377444"/>
      <w:bookmarkStart w:id="46" w:name="_Toc15377213"/>
      <w:bookmarkStart w:id="47" w:name="_Toc15378460"/>
      <w:r>
        <w:rPr>
          <w:rFonts w:hint="eastAsia" w:ascii="仿宋" w:hAnsi="仿宋" w:eastAsia="仿宋"/>
          <w:b/>
          <w:sz w:val="32"/>
          <w:szCs w:val="32"/>
          <w:lang w:eastAsia="zh-CN"/>
        </w:rPr>
        <w:t>2022</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1,927.19</w:t>
      </w:r>
      <w:r>
        <w:rPr>
          <w:rFonts w:hint="eastAsia" w:ascii="仿宋" w:hAnsi="仿宋" w:eastAsia="仿宋"/>
          <w:b/>
          <w:sz w:val="32"/>
          <w:szCs w:val="32"/>
          <w:lang w:eastAsia="zh-CN"/>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100.00</w:t>
      </w:r>
      <w:r>
        <w:rPr>
          <w:rStyle w:val="14"/>
          <w:rFonts w:ascii="仿宋" w:hAnsi="仿宋" w:eastAsia="仿宋"/>
          <w:bCs/>
          <w:sz w:val="32"/>
          <w:szCs w:val="32"/>
        </w:rPr>
        <w:t>%</w:t>
      </w:r>
      <w:r>
        <w:rPr>
          <w:rStyle w:val="14"/>
          <w:rFonts w:hint="eastAsia" w:ascii="仿宋" w:hAnsi="仿宋" w:eastAsia="仿宋"/>
          <w:bCs/>
          <w:sz w:val="32"/>
          <w:szCs w:val="32"/>
        </w:rPr>
        <w:t>。其中：</w:t>
      </w:r>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1.</w:t>
      </w:r>
      <w:r>
        <w:rPr>
          <w:rStyle w:val="14"/>
          <w:rFonts w:hint="eastAsia" w:ascii="仿宋" w:hAnsi="仿宋" w:eastAsia="仿宋"/>
          <w:bCs/>
          <w:sz w:val="32"/>
          <w:szCs w:val="32"/>
        </w:rPr>
        <w:t>一般公共服务（类）</w:t>
      </w:r>
      <w:r>
        <w:rPr>
          <w:rStyle w:val="14"/>
          <w:rFonts w:ascii="仿宋" w:hAnsi="仿宋" w:eastAsia="仿宋"/>
          <w:bCs/>
          <w:sz w:val="32"/>
          <w:szCs w:val="32"/>
        </w:rPr>
        <w:t>:</w:t>
      </w:r>
      <w:r>
        <w:rPr>
          <w:rStyle w:val="14"/>
          <w:rFonts w:hint="eastAsia" w:ascii="仿宋" w:hAnsi="仿宋" w:eastAsia="仿宋"/>
          <w:bCs/>
          <w:sz w:val="32"/>
          <w:szCs w:val="32"/>
          <w:lang w:eastAsia="zh-CN"/>
        </w:rPr>
        <w:t>人大事务（款）：行政运行（项）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23.00</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Cs/>
          <w:sz w:val="32"/>
          <w:szCs w:val="32"/>
        </w:rPr>
        <w:t>政府办公厅（室）及相关机构事务</w:t>
      </w:r>
      <w:r>
        <w:rPr>
          <w:rStyle w:val="14"/>
          <w:rFonts w:hint="eastAsia" w:ascii="仿宋" w:hAnsi="仿宋" w:eastAsia="仿宋"/>
          <w:bCs/>
          <w:sz w:val="32"/>
          <w:szCs w:val="32"/>
          <w:lang w:eastAsia="zh-CN"/>
        </w:rPr>
        <w:t>（款）：行政运行（项）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798.37</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Cs/>
          <w:sz w:val="32"/>
          <w:szCs w:val="32"/>
          <w:lang w:eastAsia="zh-CN"/>
        </w:rPr>
        <w:t>事业运行（项）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139.88</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961.25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highlight w:val="lightGray"/>
          <w:lang w:eastAsia="zh-CN"/>
        </w:rPr>
      </w:pPr>
      <w:r>
        <w:rPr>
          <w:rStyle w:val="14"/>
          <w:rFonts w:hint="eastAsia" w:ascii="仿宋" w:hAnsi="仿宋" w:eastAsia="仿宋"/>
          <w:bCs/>
          <w:sz w:val="32"/>
          <w:szCs w:val="32"/>
          <w:lang w:val="en-US" w:eastAsia="zh-CN"/>
        </w:rPr>
        <w:t>2.</w:t>
      </w:r>
      <w:r>
        <w:rPr>
          <w:rStyle w:val="14"/>
          <w:rFonts w:hint="eastAsia" w:ascii="仿宋" w:hAnsi="仿宋" w:eastAsia="仿宋"/>
          <w:bCs/>
          <w:sz w:val="32"/>
          <w:szCs w:val="32"/>
        </w:rPr>
        <w:t>教育（类）</w:t>
      </w:r>
      <w:r>
        <w:rPr>
          <w:rStyle w:val="14"/>
          <w:rFonts w:ascii="仿宋" w:hAnsi="仿宋" w:eastAsia="仿宋"/>
          <w:bCs/>
          <w:sz w:val="32"/>
          <w:szCs w:val="32"/>
        </w:rPr>
        <w:t>:</w:t>
      </w:r>
      <w:r>
        <w:rPr>
          <w:rStyle w:val="14"/>
          <w:rFonts w:hint="eastAsia" w:ascii="仿宋" w:hAnsi="仿宋" w:eastAsia="仿宋"/>
          <w:b/>
          <w:bCs w:val="0"/>
          <w:sz w:val="32"/>
          <w:szCs w:val="32"/>
        </w:rPr>
        <w:t>普通教育</w:t>
      </w:r>
      <w:r>
        <w:rPr>
          <w:rStyle w:val="14"/>
          <w:rFonts w:hint="eastAsia" w:ascii="仿宋" w:hAnsi="仿宋" w:eastAsia="仿宋"/>
          <w:b/>
          <w:bCs w:val="0"/>
          <w:sz w:val="32"/>
          <w:szCs w:val="32"/>
          <w:lang w:eastAsia="zh-CN"/>
        </w:rPr>
        <w:t>（款）：小学教育（项）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201.44</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b/>
          <w:bCs w:val="0"/>
          <w:sz w:val="32"/>
          <w:szCs w:val="32"/>
          <w:lang w:eastAsia="zh-CN"/>
        </w:rPr>
        <w:t>其他普通教育支出（项）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47.78</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249.22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社会保障和就业（类）</w:t>
      </w:r>
      <w:r>
        <w:rPr>
          <w:rStyle w:val="14"/>
          <w:rFonts w:ascii="仿宋" w:hAnsi="仿宋" w:eastAsia="仿宋"/>
          <w:bCs/>
          <w:sz w:val="32"/>
          <w:szCs w:val="32"/>
        </w:rPr>
        <w:t>:</w:t>
      </w:r>
      <w:r>
        <w:rPr>
          <w:rStyle w:val="14"/>
          <w:rFonts w:hint="eastAsia" w:ascii="仿宋" w:hAnsi="仿宋" w:eastAsia="仿宋"/>
          <w:bCs/>
          <w:sz w:val="32"/>
          <w:szCs w:val="32"/>
        </w:rPr>
        <w:t>行政事业单位养老支出</w:t>
      </w:r>
      <w:r>
        <w:rPr>
          <w:rStyle w:val="14"/>
          <w:rFonts w:hint="eastAsia" w:ascii="仿宋" w:hAnsi="仿宋" w:eastAsia="仿宋"/>
          <w:bCs/>
          <w:sz w:val="32"/>
          <w:szCs w:val="32"/>
          <w:lang w:eastAsia="zh-CN"/>
        </w:rPr>
        <w:t>（款）：机关事业单位基本养老保险缴费支出（项）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65.13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highlight w:val="lightGray"/>
          <w:lang w:val="en-US" w:eastAsia="zh-CN"/>
        </w:rPr>
      </w:pPr>
      <w:r>
        <w:rPr>
          <w:rFonts w:hint="eastAsia" w:ascii="仿宋" w:hAnsi="仿宋" w:eastAsia="仿宋"/>
          <w:b/>
          <w:bCs/>
          <w:sz w:val="32"/>
          <w:szCs w:val="32"/>
          <w:lang w:val="en-US" w:eastAsia="zh-CN"/>
        </w:rPr>
        <w:t>4.</w:t>
      </w:r>
      <w:r>
        <w:rPr>
          <w:rFonts w:hint="eastAsia" w:ascii="仿宋" w:hAnsi="仿宋" w:eastAsia="仿宋"/>
          <w:b/>
          <w:bCs/>
          <w:sz w:val="32"/>
          <w:szCs w:val="32"/>
        </w:rPr>
        <w:t>卫生健康</w:t>
      </w:r>
      <w:r>
        <w:rPr>
          <w:rStyle w:val="14"/>
          <w:rFonts w:hint="eastAsia" w:ascii="仿宋" w:hAnsi="仿宋" w:eastAsia="仿宋"/>
          <w:bCs/>
          <w:sz w:val="32"/>
          <w:szCs w:val="32"/>
        </w:rPr>
        <w:t>（类）</w:t>
      </w:r>
      <w:r>
        <w:rPr>
          <w:rStyle w:val="14"/>
          <w:rFonts w:ascii="仿宋" w:hAnsi="仿宋" w:eastAsia="仿宋"/>
          <w:bCs/>
          <w:sz w:val="32"/>
          <w:szCs w:val="32"/>
        </w:rPr>
        <w:t>:</w:t>
      </w:r>
      <w:r>
        <w:rPr>
          <w:rFonts w:hint="eastAsia" w:ascii="仿宋" w:hAnsi="仿宋" w:eastAsia="仿宋"/>
          <w:b/>
          <w:bCs/>
          <w:sz w:val="32"/>
          <w:szCs w:val="32"/>
        </w:rPr>
        <w:t>行政事业单位医疗</w:t>
      </w:r>
      <w:r>
        <w:rPr>
          <w:rFonts w:hint="eastAsia" w:ascii="仿宋" w:hAnsi="仿宋" w:eastAsia="仿宋"/>
          <w:b/>
          <w:bCs/>
          <w:sz w:val="32"/>
          <w:szCs w:val="32"/>
          <w:lang w:eastAsia="zh-CN"/>
        </w:rPr>
        <w:t>（款）：行政单位医疗（项）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15.18</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Fonts w:hint="eastAsia" w:ascii="仿宋" w:hAnsi="仿宋" w:eastAsia="仿宋"/>
          <w:b/>
          <w:bCs/>
          <w:sz w:val="32"/>
          <w:szCs w:val="32"/>
          <w:lang w:eastAsia="zh-CN"/>
        </w:rPr>
        <w:t>事业单位医疗（项）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13.15</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Fonts w:hint="eastAsia" w:ascii="仿宋" w:hAnsi="仿宋" w:eastAsia="仿宋"/>
          <w:b/>
          <w:bCs/>
          <w:sz w:val="32"/>
          <w:szCs w:val="32"/>
          <w:lang w:eastAsia="zh-CN"/>
        </w:rPr>
        <w:t>公务员医疗补助（项）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11.40</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39.73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Fonts w:hint="eastAsia" w:ascii="仿宋" w:hAnsi="仿宋" w:eastAsia="仿宋"/>
          <w:b/>
          <w:sz w:val="32"/>
          <w:szCs w:val="32"/>
        </w:rPr>
        <w:t>农林水（类）</w:t>
      </w:r>
      <w:r>
        <w:rPr>
          <w:rStyle w:val="14"/>
          <w:rFonts w:ascii="仿宋" w:hAnsi="仿宋" w:eastAsia="仿宋"/>
          <w:bCs/>
          <w:sz w:val="32"/>
          <w:szCs w:val="32"/>
        </w:rPr>
        <w:t>:</w:t>
      </w:r>
      <w:r>
        <w:rPr>
          <w:rStyle w:val="14"/>
          <w:rFonts w:hint="eastAsia" w:ascii="仿宋" w:hAnsi="仿宋" w:eastAsia="仿宋"/>
          <w:bCs/>
          <w:sz w:val="32"/>
          <w:szCs w:val="32"/>
        </w:rPr>
        <w:t>农业农村</w:t>
      </w:r>
      <w:r>
        <w:rPr>
          <w:rStyle w:val="14"/>
          <w:rFonts w:hint="eastAsia" w:ascii="仿宋" w:hAnsi="仿宋" w:eastAsia="仿宋"/>
          <w:bCs/>
          <w:sz w:val="32"/>
          <w:szCs w:val="32"/>
          <w:lang w:eastAsia="zh-CN"/>
        </w:rPr>
        <w:t>（款）其他农业农村支出（项）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190.17</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水利（款）抗旱（项）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18.56</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其他水利支出（项）：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70.00</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农村综合改革（款）对村民委员会和村党支部的补助（项）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195.93</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w:t>
      </w:r>
      <w:r>
        <w:rPr>
          <w:rStyle w:val="14"/>
          <w:rFonts w:hint="eastAsia" w:ascii="仿宋" w:hAnsi="仿宋" w:eastAsia="仿宋" w:cs="Times New Roman"/>
          <w:bCs/>
          <w:kern w:val="2"/>
          <w:sz w:val="32"/>
          <w:szCs w:val="32"/>
          <w:lang w:val="en-US" w:eastAsia="zh-CN" w:bidi="ar-SA"/>
        </w:rPr>
        <w:t xml:space="preserve"> 其他农村综合改革支出（项）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40.35</w:t>
      </w:r>
      <w:r>
        <w:rPr>
          <w:rStyle w:val="14"/>
          <w:rFonts w:hint="eastAsia" w:ascii="仿宋" w:hAnsi="仿宋" w:eastAsia="仿宋"/>
          <w:b w:val="0"/>
          <w:bCs/>
          <w:sz w:val="32"/>
          <w:szCs w:val="32"/>
        </w:rPr>
        <w:t>万元</w:t>
      </w:r>
      <w:r>
        <w:rPr>
          <w:rStyle w:val="14"/>
          <w:rFonts w:hint="eastAsia" w:ascii="仿宋" w:hAnsi="仿宋" w:eastAsia="仿宋"/>
          <w:b w:val="0"/>
          <w:bCs/>
          <w:sz w:val="32"/>
          <w:szCs w:val="32"/>
          <w:lang w:eastAsia="zh-CN"/>
        </w:rPr>
        <w:t>；合计</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515.01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Fonts w:hint="eastAsia" w:ascii="仿宋" w:hAnsi="仿宋" w:eastAsia="仿宋"/>
          <w:b/>
          <w:sz w:val="32"/>
          <w:szCs w:val="32"/>
        </w:rPr>
        <w:t>资源勘探工业信息等支出（类）</w:t>
      </w:r>
      <w:r>
        <w:rPr>
          <w:rStyle w:val="14"/>
          <w:rFonts w:ascii="仿宋" w:hAnsi="仿宋" w:eastAsia="仿宋"/>
          <w:bCs/>
          <w:sz w:val="32"/>
          <w:szCs w:val="32"/>
        </w:rPr>
        <w:t>:</w:t>
      </w:r>
      <w:r>
        <w:rPr>
          <w:rStyle w:val="14"/>
          <w:rFonts w:hint="eastAsia" w:ascii="仿宋" w:hAnsi="仿宋" w:eastAsia="仿宋"/>
          <w:bCs/>
          <w:sz w:val="32"/>
          <w:szCs w:val="32"/>
        </w:rPr>
        <w:t>支持中小企业发展和管理支出</w:t>
      </w:r>
      <w:r>
        <w:rPr>
          <w:rStyle w:val="14"/>
          <w:rFonts w:hint="eastAsia" w:ascii="仿宋" w:hAnsi="仿宋" w:eastAsia="仿宋"/>
          <w:bCs/>
          <w:sz w:val="32"/>
          <w:szCs w:val="32"/>
          <w:lang w:eastAsia="zh-CN"/>
        </w:rPr>
        <w:t>（款）其他支持中小企业发展和管理支出（项）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48.40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Fonts w:hint="eastAsia" w:ascii="仿宋" w:hAnsi="仿宋" w:eastAsia="仿宋"/>
          <w:b/>
          <w:sz w:val="32"/>
          <w:szCs w:val="32"/>
        </w:rPr>
        <w:t>住房保障</w:t>
      </w:r>
      <w:r>
        <w:rPr>
          <w:rFonts w:hint="eastAsia" w:ascii="仿宋" w:hAnsi="仿宋" w:eastAsia="仿宋"/>
          <w:b/>
          <w:sz w:val="32"/>
          <w:szCs w:val="32"/>
          <w:lang w:eastAsia="zh-CN"/>
        </w:rPr>
        <w:t>（类）</w:t>
      </w:r>
      <w:r>
        <w:rPr>
          <w:rStyle w:val="14"/>
          <w:rFonts w:ascii="仿宋" w:hAnsi="仿宋" w:eastAsia="仿宋"/>
          <w:bCs/>
          <w:sz w:val="32"/>
          <w:szCs w:val="32"/>
        </w:rPr>
        <w:t>:</w:t>
      </w:r>
      <w:r>
        <w:rPr>
          <w:rStyle w:val="14"/>
          <w:rFonts w:hint="eastAsia" w:ascii="仿宋" w:hAnsi="仿宋" w:eastAsia="仿宋"/>
          <w:bCs/>
          <w:sz w:val="32"/>
          <w:szCs w:val="32"/>
        </w:rPr>
        <w:t>住房改革支出</w:t>
      </w:r>
      <w:r>
        <w:rPr>
          <w:rStyle w:val="14"/>
          <w:rFonts w:hint="eastAsia" w:ascii="仿宋" w:hAnsi="仿宋" w:eastAsia="仿宋"/>
          <w:bCs/>
          <w:sz w:val="32"/>
          <w:szCs w:val="32"/>
          <w:lang w:eastAsia="zh-CN"/>
        </w:rPr>
        <w:t>（款）住房公积金（项）</w:t>
      </w:r>
      <w:r>
        <w:rPr>
          <w:rStyle w:val="14"/>
          <w:rFonts w:hint="eastAsia" w:ascii="仿宋" w:hAnsi="仿宋" w:eastAsia="仿宋"/>
          <w:b w:val="0"/>
          <w:bCs/>
          <w:sz w:val="32"/>
          <w:szCs w:val="32"/>
        </w:rPr>
        <w:t>支出决算为</w:t>
      </w:r>
      <w:r>
        <w:rPr>
          <w:rFonts w:hint="eastAsia" w:ascii="仿宋" w:hAnsi="仿宋" w:eastAsia="仿宋"/>
          <w:sz w:val="32"/>
          <w:szCs w:val="32"/>
          <w:lang w:val="en-US" w:eastAsia="zh-CN"/>
        </w:rPr>
        <w:t>48.45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5"/>
          <w:color w:val="auto"/>
        </w:rPr>
      </w:pPr>
      <w:bookmarkStart w:id="48" w:name="_Toc15377214"/>
      <w:bookmarkStart w:id="49"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48"/>
      <w:bookmarkEnd w:id="49"/>
      <w:r>
        <w:rPr>
          <w:rStyle w:val="25"/>
          <w:rFonts w:ascii="黑体" w:hAnsi="黑体" w:eastAsia="黑体"/>
          <w:b w:val="0"/>
          <w:color w:val="auto"/>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4,718.27</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rPr>
      </w:pPr>
      <w:r>
        <w:rPr>
          <w:rFonts w:hint="eastAsia" w:ascii="仿宋" w:hAnsi="仿宋" w:eastAsia="仿宋"/>
          <w:b/>
          <w:bCs/>
          <w:sz w:val="32"/>
          <w:szCs w:val="32"/>
        </w:rPr>
        <w:t>人员经费</w:t>
      </w:r>
      <w:r>
        <w:rPr>
          <w:rFonts w:hint="eastAsia" w:ascii="仿宋" w:hAnsi="仿宋" w:eastAsia="仿宋"/>
          <w:b/>
          <w:bCs/>
          <w:sz w:val="32"/>
          <w:szCs w:val="32"/>
          <w:lang w:val="en-US" w:eastAsia="zh-CN"/>
        </w:rPr>
        <w:t>775.93</w:t>
      </w:r>
      <w:r>
        <w:rPr>
          <w:rFonts w:hint="eastAsia" w:ascii="仿宋" w:hAnsi="仿宋" w:eastAsia="仿宋"/>
          <w:b/>
          <w:bCs/>
          <w:sz w:val="32"/>
          <w:szCs w:val="32"/>
        </w:rPr>
        <w:t>万元，</w:t>
      </w:r>
      <w:r>
        <w:rPr>
          <w:rFonts w:hint="eastAsia" w:ascii="仿宋" w:hAnsi="仿宋" w:eastAsia="仿宋"/>
          <w:sz w:val="32"/>
          <w:szCs w:val="32"/>
        </w:rPr>
        <w:t>主要包括：基本工资、津贴补贴、奖金、伙食补助费、绩效工资、机关事业单位基本养老保险缴费、职业年金缴费、其他社会保障缴费、其他工资福利支出、奖励金、住房公积金等。</w:t>
      </w:r>
      <w:r>
        <w:rPr>
          <w:rFonts w:ascii="仿宋" w:hAnsi="仿宋" w:eastAsia="仿宋"/>
          <w:sz w:val="32"/>
          <w:szCs w:val="32"/>
        </w:rPr>
        <w:br w:type="textWrapping"/>
      </w:r>
      <w:r>
        <w:rPr>
          <w:rFonts w:hint="eastAsia" w:ascii="仿宋" w:hAnsi="仿宋" w:eastAsia="仿宋"/>
          <w:b/>
          <w:bCs/>
          <w:sz w:val="32"/>
          <w:szCs w:val="32"/>
        </w:rPr>
        <w:t>　　公用经费</w:t>
      </w:r>
      <w:r>
        <w:rPr>
          <w:rFonts w:hint="eastAsia" w:ascii="仿宋" w:hAnsi="仿宋" w:eastAsia="仿宋"/>
          <w:b/>
          <w:bCs/>
          <w:sz w:val="32"/>
          <w:szCs w:val="32"/>
          <w:lang w:val="en-US" w:eastAsia="zh-CN"/>
        </w:rPr>
        <w:t>338.64</w:t>
      </w:r>
      <w:r>
        <w:rPr>
          <w:rFonts w:hint="eastAsia" w:ascii="仿宋" w:hAnsi="仿宋" w:eastAsia="仿宋"/>
          <w:b/>
          <w:bCs/>
          <w:sz w:val="32"/>
          <w:szCs w:val="32"/>
        </w:rPr>
        <w:t>万元，</w:t>
      </w:r>
      <w:r>
        <w:rPr>
          <w:rFonts w:hint="eastAsia" w:ascii="仿宋" w:hAnsi="仿宋" w:eastAsia="仿宋"/>
          <w:sz w:val="32"/>
          <w:szCs w:val="32"/>
        </w:rPr>
        <w:t>主要包括：办公费、印刷费、水费、电费、邮电费、差旅费、维修（护）费、公务接待费、 专用材料费</w:t>
      </w:r>
      <w:r>
        <w:rPr>
          <w:rFonts w:hint="eastAsia" w:ascii="仿宋" w:hAnsi="仿宋" w:eastAsia="仿宋"/>
          <w:sz w:val="32"/>
          <w:szCs w:val="32"/>
          <w:lang w:val="en-US" w:eastAsia="zh-CN"/>
        </w:rPr>
        <w:t>、</w:t>
      </w:r>
      <w:r>
        <w:rPr>
          <w:rFonts w:hint="eastAsia" w:ascii="仿宋" w:hAnsi="仿宋" w:eastAsia="仿宋"/>
          <w:sz w:val="32"/>
          <w:szCs w:val="32"/>
        </w:rPr>
        <w:t>劳务费、委托业务费、工会经费、公务用车运行维护费、其他交通费、其他商品和服务支出等。</w:t>
      </w:r>
      <w:bookmarkStart w:id="50" w:name="_Toc15396609"/>
      <w:bookmarkStart w:id="51" w:name="_Toc1537721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5"/>
          <w:rFonts w:hint="default" w:ascii="黑体" w:hAnsi="黑体" w:eastAsia="黑体"/>
          <w:b w:val="0"/>
          <w:lang w:val="en-US" w:eastAsia="zh-CN"/>
        </w:rPr>
      </w:pPr>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0"/>
      <w:bookmarkEnd w:id="51"/>
      <w:r>
        <w:rPr>
          <w:rStyle w:val="25"/>
          <w:rFonts w:hint="eastAsia" w:ascii="黑体" w:hAnsi="黑体" w:eastAsia="黑体"/>
          <w:b w:val="0"/>
          <w:lang w:val="en-US" w:eastAsia="zh-CN"/>
        </w:rPr>
        <w:t>21.80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default" w:ascii="仿宋" w:hAnsi="仿宋" w:eastAsia="仿宋"/>
          <w:b/>
          <w:sz w:val="32"/>
          <w:szCs w:val="32"/>
          <w:lang w:val="en-US" w:eastAsia="zh-CN"/>
        </w:rPr>
      </w:pPr>
      <w:bookmarkStart w:id="52" w:name="_Toc15377216"/>
      <w:r>
        <w:rPr>
          <w:rFonts w:hint="eastAsia" w:ascii="仿宋" w:hAnsi="仿宋" w:eastAsia="仿宋"/>
          <w:b/>
          <w:sz w:val="32"/>
          <w:szCs w:val="32"/>
        </w:rPr>
        <w:t>（一）“三公”经费财政拨款支出决算总体情况说明</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19.45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年“三公”经费财政拨款支出决算中，公务用车购置及运行维护费支出决算</w:t>
      </w:r>
      <w:r>
        <w:rPr>
          <w:rFonts w:hint="eastAsia" w:ascii="仿宋" w:hAnsi="仿宋" w:eastAsia="仿宋"/>
          <w:sz w:val="32"/>
          <w:szCs w:val="32"/>
          <w:lang w:val="en-US" w:eastAsia="zh-CN"/>
        </w:rPr>
        <w:t>10.05</w:t>
      </w:r>
      <w:r>
        <w:rPr>
          <w:rFonts w:hint="eastAsia" w:ascii="仿宋" w:hAnsi="仿宋" w:eastAsia="仿宋"/>
          <w:sz w:val="32"/>
          <w:szCs w:val="32"/>
        </w:rPr>
        <w:t>万元，占</w:t>
      </w:r>
      <w:r>
        <w:rPr>
          <w:rFonts w:hint="eastAsia" w:ascii="仿宋" w:hAnsi="仿宋" w:eastAsia="仿宋"/>
          <w:sz w:val="32"/>
          <w:szCs w:val="32"/>
          <w:lang w:val="en-US" w:eastAsia="zh-CN"/>
        </w:rPr>
        <w:t>51.67</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9.40</w:t>
      </w:r>
      <w:r>
        <w:rPr>
          <w:rFonts w:hint="eastAsia" w:ascii="仿宋" w:hAnsi="仿宋" w:eastAsia="仿宋"/>
          <w:sz w:val="32"/>
          <w:szCs w:val="32"/>
        </w:rPr>
        <w:t>万元，占</w:t>
      </w:r>
      <w:r>
        <w:rPr>
          <w:rFonts w:hint="eastAsia" w:ascii="仿宋" w:hAnsi="仿宋" w:eastAsia="仿宋"/>
          <w:sz w:val="32"/>
          <w:szCs w:val="32"/>
          <w:lang w:val="en-US" w:eastAsia="zh-CN"/>
        </w:rPr>
        <w:t>48.33</w:t>
      </w:r>
      <w:r>
        <w:rPr>
          <w:rFonts w:ascii="仿宋" w:hAnsi="仿宋" w:eastAsia="仿宋"/>
          <w:sz w:val="32"/>
          <w:szCs w:val="32"/>
        </w:rPr>
        <w:t>%</w:t>
      </w:r>
      <w:r>
        <w:rPr>
          <w:rFonts w:hint="eastAsia" w:ascii="仿宋" w:hAnsi="仿宋" w:eastAsia="仿宋"/>
          <w:sz w:val="32"/>
          <w:szCs w:val="32"/>
        </w:rPr>
        <w:t>。具体情况如下：</w:t>
      </w:r>
    </w:p>
    <w:p>
      <w:pPr>
        <w:pStyle w:val="5"/>
        <w:jc w:val="center"/>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204335" cy="2429510"/>
            <wp:effectExtent l="4445" t="4445" r="2032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pPr>
        <w:pStyle w:val="5"/>
        <w:keepNext w:val="0"/>
        <w:keepLines w:val="0"/>
        <w:pageBreakBefore w:val="0"/>
        <w:kinsoku/>
        <w:wordWrap/>
        <w:overflowPunct/>
        <w:topLinePunct w:val="0"/>
        <w:bidi w:val="0"/>
        <w:snapToGrid/>
        <w:spacing w:beforeLines="0" w:line="560" w:lineRule="exact"/>
        <w:ind w:left="0" w:leftChars="0" w:firstLine="600" w:firstLineChars="200"/>
        <w:jc w:val="both"/>
        <w:textAlignment w:val="auto"/>
        <w:outlineLvl w:val="9"/>
      </w:pPr>
    </w:p>
    <w:p>
      <w:pPr>
        <w:keepNext w:val="0"/>
        <w:keepLines w:val="0"/>
        <w:pageBreakBefore w:val="0"/>
        <w:numPr>
          <w:ilvl w:val="0"/>
          <w:numId w:val="3"/>
        </w:numPr>
        <w:kinsoku/>
        <w:wordWrap/>
        <w:overflowPunct/>
        <w:topLinePunct w:val="0"/>
        <w:bidi w:val="0"/>
        <w:snapToGrid/>
        <w:spacing w:line="560" w:lineRule="exact"/>
        <w:ind w:left="0" w:lef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10.05万元,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。主要用于</w:t>
      </w:r>
      <w:r>
        <w:rPr>
          <w:rFonts w:hint="eastAsia" w:ascii="仿宋_GB2312" w:eastAsia="仿宋_GB2312"/>
          <w:sz w:val="32"/>
          <w:szCs w:val="32"/>
          <w:lang w:eastAsia="zh-CN"/>
        </w:rPr>
        <w:t>公务活动、</w:t>
      </w:r>
      <w:r>
        <w:rPr>
          <w:rFonts w:hint="eastAsia" w:ascii="仿宋" w:hAnsi="仿宋" w:eastAsia="仿宋" w:cs="仿宋"/>
          <w:sz w:val="32"/>
          <w:szCs w:val="32"/>
        </w:rPr>
        <w:t>开会</w:t>
      </w:r>
      <w:r>
        <w:rPr>
          <w:rFonts w:hint="eastAsia" w:ascii="仿宋" w:hAnsi="仿宋" w:eastAsia="仿宋" w:cs="仿宋"/>
          <w:sz w:val="32"/>
          <w:szCs w:val="32"/>
          <w:lang w:eastAsia="zh-CN"/>
        </w:rPr>
        <w:t>、</w:t>
      </w:r>
      <w:r>
        <w:rPr>
          <w:rFonts w:hint="eastAsia" w:ascii="仿宋" w:hAnsi="仿宋" w:eastAsia="仿宋" w:cs="仿宋"/>
          <w:sz w:val="32"/>
          <w:szCs w:val="32"/>
        </w:rPr>
        <w:t>下村</w:t>
      </w:r>
      <w:r>
        <w:rPr>
          <w:rFonts w:hint="eastAsia" w:ascii="仿宋_GB2312" w:eastAsia="仿宋_GB2312"/>
          <w:sz w:val="32"/>
          <w:szCs w:val="32"/>
        </w:rPr>
        <w:t>等所需的公务用车燃料费、维修费、过路过桥费、保险费等支出。</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w:t>
      </w: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9.40万元</w:t>
      </w:r>
      <w:r>
        <w:rPr>
          <w:rFonts w:hint="eastAsia" w:ascii="仿宋_GB2312" w:eastAsia="仿宋_GB2312"/>
          <w:sz w:val="32"/>
          <w:szCs w:val="32"/>
        </w:rPr>
        <w:t>，</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年减少</w:t>
      </w:r>
      <w:r>
        <w:rPr>
          <w:rFonts w:hint="eastAsia" w:ascii="仿宋_GB2312" w:eastAsia="仿宋_GB2312"/>
          <w:sz w:val="32"/>
          <w:szCs w:val="32"/>
          <w:lang w:val="en-US" w:eastAsia="zh-CN"/>
        </w:rPr>
        <w:t>2.35</w:t>
      </w:r>
      <w:r>
        <w:rPr>
          <w:rFonts w:hint="eastAsia" w:ascii="仿宋_GB2312" w:eastAsia="仿宋_GB2312"/>
          <w:sz w:val="32"/>
          <w:szCs w:val="32"/>
        </w:rPr>
        <w:t>万元，下降</w:t>
      </w: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按照三公经费逐年递减原则缩减经费支出</w:t>
      </w:r>
      <w:r>
        <w:rPr>
          <w:rFonts w:hint="eastAsia" w:ascii="仿宋_GB2312" w:eastAsia="仿宋_GB2312"/>
          <w:sz w:val="32"/>
          <w:szCs w:val="32"/>
        </w:rPr>
        <w:t>。</w:t>
      </w:r>
    </w:p>
    <w:p>
      <w:pPr>
        <w:keepNext w:val="0"/>
        <w:keepLines w:val="0"/>
        <w:pageBreakBefore w:val="0"/>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11.75</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215</w:t>
      </w:r>
      <w:r>
        <w:rPr>
          <w:rFonts w:hint="eastAsia" w:ascii="仿宋_GB2312" w:eastAsia="仿宋_GB2312"/>
          <w:sz w:val="32"/>
          <w:szCs w:val="32"/>
        </w:rPr>
        <w:t>批次，</w:t>
      </w:r>
      <w:r>
        <w:rPr>
          <w:rFonts w:hint="eastAsia" w:ascii="仿宋_GB2312" w:eastAsia="仿宋_GB2312"/>
          <w:sz w:val="32"/>
          <w:szCs w:val="32"/>
          <w:lang w:val="en-US" w:eastAsia="zh-CN"/>
        </w:rPr>
        <w:t>1082</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color w:val="000000"/>
          <w:sz w:val="32"/>
          <w:szCs w:val="32"/>
          <w:lang w:val="en-US" w:eastAsia="zh-CN"/>
        </w:rPr>
        <w:t>具体内容包括：各级领导到镇指导工作，镇与镇之间交叉交流等</w:t>
      </w:r>
      <w:r>
        <w:rPr>
          <w:rFonts w:hint="eastAsia" w:ascii="仿宋_GB2312" w:eastAsia="仿宋_GB2312"/>
          <w:sz w:val="32"/>
          <w:szCs w:val="32"/>
        </w:rPr>
        <w:t>。</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黑体" w:eastAsia="黑体"/>
          <w:sz w:val="32"/>
          <w:szCs w:val="32"/>
        </w:rPr>
      </w:pPr>
      <w:bookmarkStart w:id="54" w:name="_Toc15396610"/>
      <w:bookmarkStart w:id="55" w:name="_Toc15377218"/>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54"/>
      <w:bookmarkEnd w:id="55"/>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876.13</w:t>
      </w:r>
      <w:r>
        <w:rPr>
          <w:rFonts w:hint="eastAsia" w:ascii="仿宋_GB2312" w:eastAsia="仿宋_GB2312"/>
          <w:sz w:val="32"/>
          <w:szCs w:val="32"/>
        </w:rPr>
        <w:t>万元。</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p>
    <w:p>
      <w:pPr>
        <w:keepNext w:val="0"/>
        <w:keepLines w:val="0"/>
        <w:pageBreakBefore w:val="0"/>
        <w:numPr>
          <w:ilvl w:val="0"/>
          <w:numId w:val="4"/>
        </w:numPr>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b w:val="0"/>
        </w:rPr>
      </w:pPr>
      <w:bookmarkStart w:id="56" w:name="_Toc15377219"/>
      <w:bookmarkStart w:id="57" w:name="_Toc15396611"/>
      <w:r>
        <w:rPr>
          <w:rStyle w:val="25"/>
          <w:rFonts w:hint="eastAsia" w:ascii="黑体" w:hAnsi="黑体" w:eastAsia="黑体"/>
          <w:b w:val="0"/>
        </w:rPr>
        <w:t>国有资本经营预算支出决算情况说明</w:t>
      </w:r>
      <w:bookmarkEnd w:id="56"/>
      <w:bookmarkEnd w:id="57"/>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0.00</w:t>
      </w:r>
      <w:r>
        <w:rPr>
          <w:rFonts w:hint="eastAsia" w:ascii="仿宋_GB2312" w:eastAsia="仿宋_GB2312"/>
          <w:sz w:val="32"/>
          <w:szCs w:val="32"/>
        </w:rPr>
        <w:t>万元。</w:t>
      </w:r>
    </w:p>
    <w:p>
      <w:pPr>
        <w:keepNext w:val="0"/>
        <w:keepLines w:val="0"/>
        <w:pageBreakBefore w:val="0"/>
        <w:kinsoku/>
        <w:wordWrap/>
        <w:overflowPunct/>
        <w:topLinePunct w:val="0"/>
        <w:bidi w:val="0"/>
        <w:snapToGrid/>
        <w:spacing w:line="560" w:lineRule="exact"/>
        <w:ind w:left="0" w:leftChars="0" w:firstLine="880" w:firstLineChars="20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numPr>
          <w:ilvl w:val="0"/>
          <w:numId w:val="4"/>
        </w:numPr>
        <w:kinsoku/>
        <w:wordWrap/>
        <w:overflowPunct/>
        <w:topLinePunct w:val="0"/>
        <w:bidi w:val="0"/>
        <w:snapToGrid/>
        <w:spacing w:line="560" w:lineRule="exact"/>
        <w:ind w:left="0" w:leftChars="0" w:firstLine="640" w:firstLineChars="200"/>
        <w:jc w:val="both"/>
        <w:textAlignment w:val="auto"/>
        <w:outlineLvl w:val="9"/>
        <w:rPr>
          <w:rStyle w:val="25"/>
          <w:rFonts w:ascii="黑体" w:hAnsi="黑体" w:eastAsia="黑体"/>
          <w:b w:val="0"/>
        </w:rPr>
      </w:pPr>
      <w:bookmarkStart w:id="58" w:name="_Toc15396612"/>
      <w:bookmarkStart w:id="59" w:name="_Toc15377221"/>
      <w:r>
        <w:rPr>
          <w:rStyle w:val="25"/>
          <w:rFonts w:hint="eastAsia" w:ascii="黑体" w:hAnsi="黑体" w:eastAsia="黑体"/>
          <w:b w:val="0"/>
        </w:rPr>
        <w:t>其他重要事项的情况说明</w:t>
      </w:r>
      <w:bookmarkEnd w:id="58"/>
      <w:bookmarkEnd w:id="59"/>
    </w:p>
    <w:p>
      <w:pPr>
        <w:spacing w:line="600" w:lineRule="exact"/>
        <w:ind w:firstLine="643" w:firstLineChars="200"/>
        <w:outlineLvl w:val="2"/>
        <w:rPr>
          <w:rFonts w:ascii="仿宋" w:hAnsi="仿宋" w:eastAsia="仿宋"/>
          <w:color w:val="auto"/>
          <w:sz w:val="32"/>
          <w:szCs w:val="32"/>
          <w:highlight w:val="none"/>
        </w:rPr>
      </w:pPr>
      <w:bookmarkStart w:id="60" w:name="_Toc15377222"/>
      <w:bookmarkStart w:id="61" w:name="_Toc15377223"/>
      <w:r>
        <w:rPr>
          <w:rFonts w:hint="eastAsia" w:ascii="仿宋" w:hAnsi="仿宋" w:eastAsia="仿宋"/>
          <w:b/>
          <w:color w:val="auto"/>
          <w:sz w:val="32"/>
          <w:szCs w:val="32"/>
          <w:highlight w:val="none"/>
        </w:rPr>
        <w:t>（一）机关运行经费支出情况</w:t>
      </w:r>
      <w:bookmarkEnd w:id="6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百和镇人民政府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338.64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305.35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47.42</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eastAsia="zh-CN"/>
        </w:rPr>
        <w:t>本年度学校单独进行部门决算，故机关运行经费下降</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200"/>
        <w:jc w:val="both"/>
        <w:textAlignment w:val="auto"/>
        <w:outlineLvl w:val="9"/>
        <w:rPr>
          <w:rFonts w:hint="eastAsia" w:ascii="仿宋" w:hAnsi="仿宋" w:eastAsia="仿宋"/>
          <w:b/>
          <w:sz w:val="32"/>
          <w:szCs w:val="32"/>
        </w:rPr>
      </w:pPr>
    </w:p>
    <w:bookmarkEnd w:id="61"/>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ascii="仿宋" w:hAnsi="仿宋" w:eastAsia="仿宋"/>
          <w:b/>
          <w:sz w:val="32"/>
          <w:szCs w:val="32"/>
        </w:rPr>
      </w:pPr>
      <w:bookmarkStart w:id="62" w:name="_Toc15377224"/>
      <w:r>
        <w:rPr>
          <w:rFonts w:hint="eastAsia" w:ascii="仿宋" w:hAnsi="仿宋" w:eastAsia="仿宋"/>
          <w:b/>
          <w:sz w:val="32"/>
          <w:szCs w:val="32"/>
        </w:rPr>
        <w:t>（三）国有资产占有使用情况</w:t>
      </w:r>
      <w:bookmarkEnd w:id="62"/>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百和镇</w:t>
      </w:r>
      <w:r>
        <w:rPr>
          <w:rFonts w:hint="eastAsia" w:ascii="仿宋_GB2312" w:eastAsia="仿宋_GB2312"/>
          <w:sz w:val="32"/>
          <w:szCs w:val="32"/>
        </w:rPr>
        <w:t>共有车辆</w:t>
      </w:r>
      <w:r>
        <w:rPr>
          <w:rFonts w:hint="eastAsia" w:ascii="仿宋_GB2312" w:eastAsia="仿宋_GB2312"/>
          <w:sz w:val="32"/>
          <w:szCs w:val="32"/>
          <w:lang w:val="en-US" w:eastAsia="zh-CN"/>
        </w:rPr>
        <w:t>4</w:t>
      </w:r>
      <w:r>
        <w:rPr>
          <w:rFonts w:hint="eastAsia" w:ascii="仿宋_GB2312" w:eastAsia="仿宋_GB2312"/>
          <w:sz w:val="32"/>
          <w:szCs w:val="32"/>
        </w:rPr>
        <w:t>辆，其中：应急保障用车</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2辆</w:t>
      </w:r>
      <w:r>
        <w:rPr>
          <w:rFonts w:hint="eastAsia" w:ascii="仿宋_GB2312" w:eastAsia="仿宋_GB2312"/>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9"/>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按照省、市、县相关会议精神，坚持保运转、保稳定、促发展的要求，扎实推动民生事业等方面重点工作，实现提高财政资金使用效益的目标，将有限的资金重点放在改善民生事业上，为人民当好家理好财，努力发挥项目的经济和社会效益，提高人民群众对财政资金使用的满意度。按照预算绩效管理要求，本部门对</w:t>
      </w:r>
      <w:r>
        <w:rPr>
          <w:rFonts w:hint="eastAsia" w:ascii="仿宋" w:hAnsi="仿宋" w:eastAsia="仿宋" w:cs="仿宋"/>
          <w:sz w:val="32"/>
          <w:szCs w:val="32"/>
          <w:lang w:eastAsia="zh-CN"/>
        </w:rPr>
        <w:t>2022</w:t>
      </w:r>
      <w:r>
        <w:rPr>
          <w:rFonts w:hint="eastAsia" w:ascii="仿宋" w:hAnsi="仿宋" w:eastAsia="仿宋" w:cs="仿宋"/>
          <w:sz w:val="32"/>
          <w:szCs w:val="32"/>
        </w:rPr>
        <w:t xml:space="preserve">年一般公共预算项目支出开展了绩效目标管理。 </w:t>
      </w:r>
    </w:p>
    <w:p>
      <w:pPr>
        <w:keepNext w:val="0"/>
        <w:keepLines w:val="0"/>
        <w:pageBreakBefore w:val="0"/>
        <w:kinsoku/>
        <w:wordWrap/>
        <w:overflowPunct/>
        <w:topLinePunct w:val="0"/>
        <w:bidi w:val="0"/>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napToGrid/>
        <w:spacing w:line="560" w:lineRule="exact"/>
        <w:ind w:left="0" w:leftChars="0" w:firstLine="643" w:firstLineChars="200"/>
        <w:jc w:val="both"/>
        <w:textAlignment w:val="auto"/>
        <w:outlineLvl w:val="9"/>
        <w:rPr>
          <w:rFonts w:ascii="仿宋_GB2312" w:eastAsia="仿宋_GB2312"/>
          <w:b/>
          <w:sz w:val="32"/>
          <w:szCs w:val="32"/>
        </w:rPr>
      </w:pPr>
      <w:r>
        <w:rPr>
          <w:rFonts w:ascii="仿宋_GB2312" w:eastAsia="仿宋_GB2312"/>
          <w:b/>
          <w:sz w:val="32"/>
          <w:szCs w:val="32"/>
        </w:rPr>
        <w:br w:type="page"/>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880" w:firstLineChars="200"/>
        <w:jc w:val="both"/>
        <w:textAlignment w:val="auto"/>
        <w:outlineLvl w:val="9"/>
        <w:rPr>
          <w:rStyle w:val="24"/>
          <w:rFonts w:ascii="黑体" w:hAnsi="黑体" w:eastAsia="黑体"/>
          <w:b w:val="0"/>
        </w:rPr>
      </w:pPr>
      <w:bookmarkStart w:id="63" w:name="_Toc15396613"/>
      <w:bookmarkStart w:id="64" w:name="_Toc15377225"/>
      <w:r>
        <w:rPr>
          <w:rFonts w:hint="eastAsia" w:ascii="黑体" w:hAnsi="黑体" w:eastAsia="黑体"/>
          <w:sz w:val="44"/>
          <w:szCs w:val="44"/>
        </w:rPr>
        <w:t>名</w:t>
      </w:r>
      <w:r>
        <w:rPr>
          <w:rStyle w:val="24"/>
          <w:rFonts w:hint="eastAsia" w:ascii="黑体" w:hAnsi="黑体" w:eastAsia="黑体"/>
          <w:b w:val="0"/>
        </w:rPr>
        <w:t>词解释</w:t>
      </w:r>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outlineLvl w:val="9"/>
        <w:rPr>
          <w:rFonts w:ascii="宋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 xml:space="preserve">指单位从同级财政部门取得的财政预算资金。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2.事业收入：</w:t>
      </w:r>
      <w:r>
        <w:rPr>
          <w:rFonts w:hint="eastAsia" w:ascii="仿宋" w:hAnsi="仿宋" w:eastAsia="仿宋" w:cs="仿宋"/>
          <w:sz w:val="32"/>
          <w:szCs w:val="32"/>
        </w:rPr>
        <w:t xml:space="preserve">指事业单位开展专业业务活动及辅助活动取得的收入。如二级预算单位事业收入情况等。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3.经营收入：</w:t>
      </w:r>
      <w:r>
        <w:rPr>
          <w:rFonts w:hint="eastAsia" w:ascii="仿宋" w:hAnsi="仿宋" w:eastAsia="仿宋" w:cs="仿宋"/>
          <w:sz w:val="32"/>
          <w:szCs w:val="32"/>
        </w:rPr>
        <w:t xml:space="preserve">指事业单位在专业业务活动及其辅助活动之外开展非独立核算经营活动取得的收入。如二级预算单位经营收入情况等。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4.其他收入：</w:t>
      </w:r>
      <w:r>
        <w:rPr>
          <w:rFonts w:hint="eastAsia" w:ascii="仿宋" w:hAnsi="仿宋" w:eastAsia="仿宋" w:cs="仿宋"/>
          <w:sz w:val="32"/>
          <w:szCs w:val="32"/>
        </w:rPr>
        <w:t xml:space="preserve">指单位取得的除上述收入以外的各项收入。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5.使用非财政拨款结余：</w:t>
      </w:r>
      <w:r>
        <w:rPr>
          <w:rFonts w:hint="eastAsia" w:ascii="仿宋" w:hAnsi="仿宋" w:eastAsia="仿宋" w:cs="仿宋"/>
          <w:sz w:val="32"/>
          <w:szCs w:val="32"/>
        </w:rPr>
        <w:t xml:space="preserve">指事业单位使用以前年度积累的非财政拨款结余弥补当年收支差额的金额。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6.年初结转和结余：</w:t>
      </w:r>
      <w:r>
        <w:rPr>
          <w:rFonts w:hint="eastAsia" w:ascii="仿宋" w:hAnsi="仿宋" w:eastAsia="仿宋" w:cs="仿宋"/>
          <w:sz w:val="32"/>
          <w:szCs w:val="32"/>
        </w:rPr>
        <w:t xml:space="preserve">指以前年度尚未完成、结转到本年按有关规定继续使用的资金。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7.结余分配：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年末结转和结余：</w:t>
      </w:r>
      <w:r>
        <w:rPr>
          <w:rFonts w:hint="eastAsia" w:ascii="仿宋" w:hAnsi="仿宋" w:eastAsia="仿宋" w:cs="仿宋"/>
          <w:sz w:val="32"/>
          <w:szCs w:val="32"/>
        </w:rPr>
        <w:t xml:space="preserve">指单位按有关规定结转到下年或以后年度继续使用的资金。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9.基本支出：</w:t>
      </w:r>
      <w:r>
        <w:rPr>
          <w:rFonts w:hint="eastAsia" w:ascii="仿宋" w:hAnsi="仿宋" w:eastAsia="仿宋" w:cs="仿宋"/>
          <w:sz w:val="32"/>
          <w:szCs w:val="32"/>
        </w:rPr>
        <w:t>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10.项目支出：</w:t>
      </w:r>
      <w:r>
        <w:rPr>
          <w:rFonts w:hint="eastAsia" w:ascii="仿宋" w:hAnsi="仿宋" w:eastAsia="仿宋" w:cs="仿宋"/>
          <w:sz w:val="32"/>
          <w:szCs w:val="32"/>
        </w:rPr>
        <w:t xml:space="preserve">指在基本支出之外为完成特定行政任务和事业发展目标所发生的支出。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11.经营支出：</w:t>
      </w:r>
      <w:r>
        <w:rPr>
          <w:rFonts w:hint="eastAsia" w:ascii="仿宋" w:hAnsi="仿宋" w:eastAsia="仿宋" w:cs="仿宋"/>
          <w:sz w:val="32"/>
          <w:szCs w:val="32"/>
        </w:rPr>
        <w:t xml:space="preserve">指事业单位在专业业务活动及其辅助活动之外开展非独立核算经营活动发生的支出。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12.“三公”经费：</w:t>
      </w:r>
      <w:r>
        <w:rPr>
          <w:rFonts w:hint="eastAsia" w:ascii="仿宋" w:hAnsi="仿宋" w:eastAsia="仿宋" w:cs="仿宋"/>
          <w:sz w:val="32"/>
          <w:szCs w:val="32"/>
        </w:rPr>
        <w:t xml:space="preserve">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13.机关运行经费：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.一般公共服务：</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反映政府提供一般公共服务的支出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15.外交支出：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反映政府外交事务支出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16.公共安全支出：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反映政府维护社会公共安全方面的支出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17.教育支出：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反映政府教育事务支出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18.科学技术支出：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反映科学技术方面的支出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19.文化体育与传媒支出：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反映政府在文化、文物、体育、广播影视、新闻出版等方面的支出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20.社会保障和就业支出：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反映政府在社会保障与就业方面的支出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21.医疗卫生与计划生育支出：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反映政府医疗卫生与计划生育管理方面的支出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22.节能环保支出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反映政府节能环保支出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23.城乡社区支出：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反映政府城乡社区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24.农林水支出：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反映政府农林水事务支出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25.交通运输支出：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反映交通运输和邮政业方面的支出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26.资源勘探信息等支出：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反映用于资源勘探、制造业、建筑业、工业信息等方面的支出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27.商业服务业等支出：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反映商业服务业等方面的支出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28.金融支出：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反映金融方面的支出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29.国土海洋气象等支出：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反映政府用于国土资源、海洋、测绘、地震、气象等公益服务事业方面的支出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b/>
          <w:bCs/>
          <w:sz w:val="32"/>
          <w:szCs w:val="32"/>
          <w:lang w:val="en-US" w:eastAsia="zh-CN"/>
        </w:rPr>
        <w:t>30.住房保障支出：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集中反映政府用于住房方面的支出</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31.粮油物资储备支出：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反映政府用于粮油物资储备方面的支出</w:t>
      </w:r>
      <w:r>
        <w:rPr>
          <w:rFonts w:hint="eastAsia" w:ascii="仿宋_GB2312" w:eastAsia="仿宋_GB2312"/>
          <w:color w:val="000000"/>
          <w:sz w:val="32"/>
          <w:szCs w:val="32"/>
        </w:rPr>
        <w:t>。</w:t>
      </w:r>
      <w:r>
        <w:rPr>
          <w:rFonts w:hint="eastAsia" w:ascii="仿宋" w:hAnsi="仿宋" w:eastAsia="仿宋" w:cs="仿宋"/>
          <w:sz w:val="32"/>
          <w:szCs w:val="32"/>
        </w:rPr>
        <w:t xml:space="preserve"> </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spacing w:line="560" w:lineRule="exact"/>
        <w:jc w:val="center"/>
        <w:textAlignment w:val="auto"/>
        <w:outlineLvl w:val="9"/>
        <w:rPr>
          <w:rStyle w:val="24"/>
          <w:rFonts w:hint="eastAsia" w:ascii="黑体" w:hAnsi="黑体" w:eastAsia="黑体"/>
          <w:b w:val="0"/>
        </w:rPr>
      </w:pPr>
      <w:bookmarkStart w:id="65" w:name="_Toc15396614"/>
      <w:bookmarkStart w:id="66" w:name="_Toc15377226"/>
      <w:r>
        <w:rPr>
          <w:rStyle w:val="24"/>
          <w:rFonts w:hint="eastAsia" w:ascii="黑体" w:hAnsi="黑体" w:eastAsia="黑体"/>
          <w:b w:val="0"/>
          <w:lang w:eastAsia="zh-CN"/>
        </w:rPr>
        <w:t>第四部分</w:t>
      </w:r>
      <w:r>
        <w:rPr>
          <w:rStyle w:val="24"/>
          <w:rFonts w:hint="eastAsia" w:ascii="黑体" w:hAnsi="黑体" w:eastAsia="黑体"/>
          <w:b w:val="0"/>
          <w:lang w:val="en-US" w:eastAsia="zh-CN"/>
        </w:rPr>
        <w:t xml:space="preserve">  </w:t>
      </w:r>
      <w:r>
        <w:rPr>
          <w:rStyle w:val="24"/>
          <w:rFonts w:hint="eastAsia" w:ascii="黑体" w:hAnsi="黑体" w:eastAsia="黑体"/>
          <w:b w:val="0"/>
        </w:rPr>
        <w:t>附件</w:t>
      </w:r>
      <w:bookmarkEnd w:id="65"/>
    </w:p>
    <w:p>
      <w:pPr>
        <w:pStyle w:val="5"/>
        <w:keepNext w:val="0"/>
        <w:keepLines w:val="0"/>
        <w:pageBreakBefore w:val="0"/>
        <w:numPr>
          <w:ilvl w:val="0"/>
          <w:numId w:val="0"/>
        </w:numPr>
        <w:kinsoku/>
        <w:wordWrap/>
        <w:overflowPunct/>
        <w:topLinePunct w:val="0"/>
        <w:autoSpaceDE/>
        <w:autoSpaceDN/>
        <w:bidi w:val="0"/>
        <w:spacing w:beforeLines="0" w:line="560" w:lineRule="exact"/>
        <w:ind w:left="0" w:leftChars="0" w:firstLine="600" w:firstLineChars="200"/>
        <w:jc w:val="both"/>
        <w:textAlignment w:val="auto"/>
        <w:outlineLvl w:val="9"/>
      </w:pPr>
    </w:p>
    <w:p>
      <w:pPr>
        <w:keepNext w:val="0"/>
        <w:keepLines w:val="0"/>
        <w:pageBreakBefore w:val="0"/>
        <w:kinsoku/>
        <w:wordWrap/>
        <w:overflowPunct/>
        <w:topLinePunct w:val="0"/>
        <w:autoSpaceDE/>
        <w:autoSpaceDN/>
        <w:bidi w:val="0"/>
        <w:spacing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5"/>
        <w:keepNext w:val="0"/>
        <w:keepLines w:val="0"/>
        <w:pageBreakBefore w:val="0"/>
        <w:kinsoku/>
        <w:wordWrap/>
        <w:overflowPunct/>
        <w:topLinePunct w:val="0"/>
        <w:autoSpaceDE/>
        <w:autoSpaceDN/>
        <w:bidi w:val="0"/>
        <w:spacing w:beforeLines="0" w:line="560" w:lineRule="exact"/>
        <w:ind w:left="0" w:leftChars="0" w:firstLine="600" w:firstLineChars="200"/>
        <w:jc w:val="both"/>
        <w:textAlignment w:val="auto"/>
        <w:outlineLvl w:val="9"/>
        <w:rPr>
          <w:rFonts w:hint="eastAsia"/>
          <w:lang w:val="en-US" w:eastAsia="zh-CN"/>
        </w:rPr>
      </w:pPr>
    </w:p>
    <w:p>
      <w:pPr>
        <w:keepNext w:val="0"/>
        <w:keepLines w:val="0"/>
        <w:pageBreakBefore w:val="0"/>
        <w:kinsoku/>
        <w:wordWrap/>
        <w:overflowPunct/>
        <w:topLinePunct w:val="0"/>
        <w:autoSpaceDE/>
        <w:autoSpaceDN/>
        <w:bidi w:val="0"/>
        <w:spacing w:line="560" w:lineRule="exact"/>
        <w:jc w:val="center"/>
        <w:textAlignment w:val="auto"/>
        <w:outlineLvl w:val="9"/>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lang w:eastAsia="zh-CN"/>
        </w:rPr>
        <w:t>2022</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百和镇</w:t>
      </w:r>
      <w:r>
        <w:rPr>
          <w:rFonts w:hint="eastAsia" w:ascii="方正小标宋简体" w:hAnsi="宋体" w:eastAsia="方正小标宋简体"/>
          <w:kern w:val="0"/>
          <w:sz w:val="40"/>
          <w:szCs w:val="44"/>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contextualSpacing/>
        <w:jc w:val="both"/>
        <w:textAlignment w:val="auto"/>
        <w:outlineLvl w:val="9"/>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（一）机构组成</w:t>
      </w:r>
    </w:p>
    <w:p>
      <w:pPr>
        <w:pStyle w:val="5"/>
        <w:keepNext w:val="0"/>
        <w:keepLines w:val="0"/>
        <w:pageBreakBefore w:val="0"/>
        <w:kinsoku/>
        <w:wordWrap/>
        <w:overflowPunct/>
        <w:topLinePunct w:val="0"/>
        <w:autoSpaceDE/>
        <w:autoSpaceDN/>
        <w:bidi w:val="0"/>
        <w:adjustRightInd w:val="0"/>
        <w:spacing w:beforeLines="0" w:line="560" w:lineRule="exact"/>
        <w:ind w:left="0" w:leftChars="0" w:firstLine="640" w:firstLineChars="200"/>
        <w:jc w:val="both"/>
        <w:textAlignment w:val="auto"/>
        <w:outlineLvl w:val="9"/>
        <w:rPr>
          <w:rFonts w:hint="eastAsia"/>
          <w:lang w:val="zh-CN"/>
        </w:rPr>
      </w:pPr>
      <w:r>
        <w:rPr>
          <w:rFonts w:hint="eastAsia" w:ascii="Times New Roman" w:hAnsi="Times New Roman" w:cs="Times New Roman"/>
          <w:b w:val="0"/>
          <w:bCs/>
          <w:sz w:val="32"/>
          <w:szCs w:val="32"/>
          <w:highlight w:val="none"/>
          <w:lang w:val="en-US" w:eastAsia="zh-CN"/>
        </w:rPr>
        <w:t>泸县百和镇人民政府</w:t>
      </w:r>
      <w:r>
        <w:rPr>
          <w:rFonts w:hint="default" w:ascii="Times New Roman" w:hAnsi="Times New Roman" w:eastAsia="仿宋_GB2312" w:cs="Times New Roman"/>
          <w:b w:val="0"/>
          <w:bCs/>
          <w:sz w:val="32"/>
          <w:szCs w:val="32"/>
          <w:highlight w:val="none"/>
          <w:lang w:eastAsia="zh-CN"/>
        </w:rPr>
        <w:t>下属一级预算单位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w:t>
      </w:r>
      <w:r>
        <w:rPr>
          <w:rFonts w:hint="eastAsia" w:ascii="Times New Roman" w:cs="Times New Roman"/>
          <w:b w:val="0"/>
          <w:bCs/>
          <w:sz w:val="32"/>
          <w:szCs w:val="32"/>
          <w:highlight w:val="none"/>
          <w:lang w:eastAsia="zh-CN"/>
        </w:rPr>
        <w:t>为：</w:t>
      </w:r>
      <w:r>
        <w:rPr>
          <w:rFonts w:hint="eastAsia" w:ascii="Times New Roman" w:hAnsi="Times New Roman" w:cs="Times New Roman"/>
          <w:b w:val="0"/>
          <w:bCs/>
          <w:sz w:val="32"/>
          <w:szCs w:val="32"/>
          <w:highlight w:val="none"/>
          <w:lang w:val="en-US" w:eastAsia="zh-CN"/>
        </w:rPr>
        <w:t>泸县百和镇便民服务中心</w:t>
      </w:r>
      <w:r>
        <w:rPr>
          <w:rFonts w:hint="eastAsia" w:ascii="Times New Roman" w:cs="Times New Roman"/>
          <w:b w:val="0"/>
          <w:bCs/>
          <w:sz w:val="32"/>
          <w:szCs w:val="32"/>
          <w:highlight w:val="none"/>
          <w:lang w:val="en-US" w:eastAsia="zh-CN"/>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机构职能</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认真贯彻、宣传党和国家的路线、方针、政策和法律、法规、执行上级党组织和国家行政机关的决定、命令和指示；履行好宪法和法律赋予的职责和义务；保证党和国家的路线、方针、政策和法律、法规在本镇的贯彻落实。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科学制定本行政区域内的经济和各项社会事业发展的中长期规划和年度计划、并负责组织实施；稳定农村基本经济制度，营造良好的农村经济发展环境，搞好农村市场监督。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负责本镇、村、企业党的建设和村民委员会建设；负责搞好本镇党员、干部的党风廉政建设和政务、村务公开工作；负责领导本镇群团组织和民兵武装的工作；负责指导、协调管理本镇各事业单位的工作。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负责指导本镇农业产业结构的规划及调整，搞好农业技术的推广和完善工、贸、农服务体系建设，完成区委、区政府下达的工业、农业和第三产业的发展任务。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负责搞好农村劳动力技能培训，引导农村劳动力转移和就业，不断提高社会主义新农村建设水平。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按照《中华人民共和国城镇规划法》赋予的职责，做好本行政区域的城镇、村的规划、建设、管理工作。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贯彻落实各项支农惠农政策，搞好农村土地的承包、流转、管理和耕地保护及农民负担监督管理、农村集体资产财务管理工作；搞好本镇、村、社的绿化和环境治理、保护以及交通、水利、公益设施的建设、维护等项工作。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负责本镇的民主法制建设和社会治安综合治理工作，做好各项民事纠纷的调解，化解农村社会矛盾，保障农民合法权益，维护农村社会稳定。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负责搞好本镇安全生产的监督、管理，提高对突发事件的预警和管理，建立健全各种应急机制。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负责搞好本镇的文化、体育、教育、卫生、科技、信息、广播、电影、电视、司法、民政、户籍、社会治安，劳动保障、民族、宗教等项工作。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按照计划生育目标管理责任制度，负责辖区内的计划生育工作。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负责制定本镇畜牧业的发展规划，并组织实施。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负责抓好本镇的财政、金融和税费征收协调工作。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承办县委、县政府交办的其他工作。  </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人员概况</w:t>
      </w:r>
    </w:p>
    <w:p>
      <w:pPr>
        <w:pStyle w:val="5"/>
        <w:keepNext w:val="0"/>
        <w:keepLines w:val="0"/>
        <w:pageBreakBefore w:val="0"/>
        <w:numPr>
          <w:ilvl w:val="0"/>
          <w:numId w:val="0"/>
        </w:numPr>
        <w:kinsoku/>
        <w:wordWrap/>
        <w:overflowPunct/>
        <w:topLinePunct w:val="0"/>
        <w:autoSpaceDE/>
        <w:autoSpaceDN/>
        <w:bidi w:val="0"/>
        <w:spacing w:beforeLines="0"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eastAsia="zh-CN"/>
        </w:rPr>
        <w:t>2022</w:t>
      </w:r>
      <w:r>
        <w:rPr>
          <w:rFonts w:hint="eastAsia" w:ascii="仿宋" w:hAnsi="仿宋" w:eastAsia="仿宋" w:cs="仿宋"/>
          <w:sz w:val="32"/>
          <w:szCs w:val="32"/>
        </w:rPr>
        <w:t>年年末单位实有人数</w:t>
      </w:r>
      <w:r>
        <w:rPr>
          <w:rFonts w:hint="eastAsia" w:ascii="仿宋" w:hAnsi="仿宋" w:eastAsia="仿宋" w:cs="仿宋"/>
          <w:sz w:val="32"/>
          <w:szCs w:val="32"/>
          <w:lang w:val="en-US" w:eastAsia="zh-CN"/>
        </w:rPr>
        <w:t>64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37</w:t>
      </w:r>
      <w:r>
        <w:rPr>
          <w:rFonts w:hint="eastAsia" w:ascii="仿宋" w:hAnsi="仿宋" w:eastAsia="仿宋" w:cs="仿宋"/>
          <w:sz w:val="32"/>
          <w:szCs w:val="32"/>
        </w:rPr>
        <w:t>人，事业</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行政</w:t>
      </w:r>
      <w:r>
        <w:rPr>
          <w:rFonts w:hint="eastAsia" w:ascii="仿宋" w:hAnsi="仿宋" w:eastAsia="仿宋" w:cs="仿宋"/>
          <w:sz w:val="32"/>
          <w:szCs w:val="32"/>
        </w:rPr>
        <w:t>工勤2人。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（一）部门财政资金收入情况</w:t>
      </w:r>
    </w:p>
    <w:p>
      <w:pPr>
        <w:spacing w:line="600" w:lineRule="exact"/>
        <w:ind w:firstLine="640" w:firstLineChars="200"/>
        <w:outlineLvl w:val="1"/>
        <w:rPr>
          <w:lang w:val="zh-CN"/>
        </w:rPr>
      </w:pPr>
      <w:r>
        <w:rPr>
          <w:rFonts w:hint="eastAsia" w:ascii="仿宋" w:hAnsi="仿宋" w:eastAsia="仿宋"/>
          <w:sz w:val="32"/>
          <w:szCs w:val="32"/>
          <w:lang w:eastAsia="zh-CN"/>
        </w:rPr>
        <w:t>2022</w:t>
      </w:r>
      <w:r>
        <w:rPr>
          <w:rFonts w:hint="eastAsia" w:ascii="仿宋" w:hAnsi="仿宋" w:eastAsia="仿宋"/>
          <w:sz w:val="32"/>
          <w:szCs w:val="32"/>
        </w:rPr>
        <w:t>年本年收入</w:t>
      </w:r>
      <w:r>
        <w:rPr>
          <w:rFonts w:hint="eastAsia" w:ascii="仿宋" w:hAnsi="仿宋" w:eastAsia="仿宋"/>
          <w:sz w:val="32"/>
          <w:szCs w:val="32"/>
          <w:lang w:eastAsia="zh-CN"/>
        </w:rPr>
        <w:t>总</w:t>
      </w:r>
      <w:r>
        <w:rPr>
          <w:rFonts w:hint="eastAsia" w:ascii="仿宋" w:hAnsi="仿宋" w:eastAsia="仿宋"/>
          <w:sz w:val="32"/>
          <w:szCs w:val="32"/>
        </w:rPr>
        <w:t>计</w:t>
      </w:r>
      <w:r>
        <w:rPr>
          <w:rFonts w:hint="eastAsia" w:ascii="仿宋" w:hAnsi="仿宋" w:eastAsia="仿宋"/>
          <w:sz w:val="32"/>
          <w:szCs w:val="32"/>
          <w:lang w:val="en-US" w:eastAsia="zh-CN"/>
        </w:rPr>
        <w:t>2,803.32</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w:t>
      </w:r>
      <w:r>
        <w:rPr>
          <w:rFonts w:hint="eastAsia" w:ascii="仿宋" w:hAnsi="仿宋" w:eastAsia="仿宋"/>
          <w:sz w:val="32"/>
          <w:szCs w:val="32"/>
        </w:rPr>
        <w:t>916.68万元，占</w:t>
      </w:r>
      <w:r>
        <w:rPr>
          <w:rFonts w:hint="eastAsia" w:ascii="仿宋" w:hAnsi="仿宋" w:eastAsia="仿宋"/>
          <w:sz w:val="32"/>
          <w:szCs w:val="32"/>
          <w:lang w:val="en-US" w:eastAsia="zh-CN"/>
        </w:rPr>
        <w:t>68.37</w:t>
      </w:r>
      <w:r>
        <w:rPr>
          <w:rFonts w:ascii="仿宋" w:hAnsi="仿宋" w:eastAsia="仿宋"/>
          <w:sz w:val="32"/>
          <w:szCs w:val="32"/>
        </w:rPr>
        <w:t>%</w:t>
      </w:r>
      <w:r>
        <w:rPr>
          <w:rFonts w:hint="eastAsia" w:ascii="仿宋" w:hAnsi="仿宋" w:eastAsia="仿宋"/>
          <w:sz w:val="32"/>
          <w:szCs w:val="32"/>
        </w:rPr>
        <w:t>；政府性基金预算财政拨款收入876.13万元，占</w:t>
      </w:r>
      <w:r>
        <w:rPr>
          <w:rFonts w:hint="eastAsia" w:ascii="仿宋" w:hAnsi="仿宋" w:eastAsia="仿宋"/>
          <w:sz w:val="32"/>
          <w:szCs w:val="32"/>
          <w:lang w:val="en-US" w:eastAsia="zh-CN"/>
        </w:rPr>
        <w:t>31.25</w:t>
      </w:r>
      <w:r>
        <w:rPr>
          <w:rFonts w:ascii="仿宋" w:hAnsi="仿宋" w:eastAsia="仿宋"/>
          <w:sz w:val="32"/>
          <w:szCs w:val="32"/>
        </w:rPr>
        <w:t>%</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10.51万元，占0.38%</w:t>
      </w:r>
      <w:r>
        <w:rPr>
          <w:rFonts w:hint="eastAsia" w:ascii="仿宋" w:hAnsi="仿宋" w:eastAsia="仿宋"/>
          <w:sz w:val="32"/>
          <w:szCs w:val="32"/>
          <w:lang w:eastAsia="zh-CN"/>
        </w:rPr>
        <w:t>。</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lang w:val="zh-CN"/>
        </w:rPr>
      </w:pPr>
      <w:r>
        <w:rPr>
          <w:rFonts w:hint="eastAsia" w:ascii="仿宋" w:hAnsi="仿宋" w:eastAsia="仿宋"/>
          <w:sz w:val="32"/>
          <w:szCs w:val="32"/>
          <w:lang w:eastAsia="zh-CN"/>
        </w:rPr>
        <w:t>2022</w:t>
      </w:r>
      <w:r>
        <w:rPr>
          <w:rFonts w:hint="eastAsia" w:ascii="仿宋" w:hAnsi="仿宋" w:eastAsia="仿宋"/>
          <w:sz w:val="32"/>
          <w:szCs w:val="32"/>
        </w:rPr>
        <w:t>年本年支出合计</w:t>
      </w:r>
      <w:r>
        <w:rPr>
          <w:rFonts w:hint="eastAsia" w:ascii="仿宋" w:hAnsi="仿宋" w:eastAsia="仿宋"/>
          <w:sz w:val="32"/>
          <w:szCs w:val="32"/>
          <w:lang w:val="en-US" w:eastAsia="zh-CN"/>
        </w:rPr>
        <w:t>2,803.32</w:t>
      </w:r>
      <w:r>
        <w:rPr>
          <w:rFonts w:hint="eastAsia" w:ascii="仿宋" w:hAnsi="仿宋" w:eastAsia="仿宋"/>
          <w:sz w:val="32"/>
          <w:szCs w:val="32"/>
        </w:rPr>
        <w:t>万元，其中：基本支出</w:t>
      </w:r>
      <w:r>
        <w:rPr>
          <w:rFonts w:hint="eastAsia" w:ascii="仿宋" w:hAnsi="仿宋" w:eastAsia="仿宋"/>
          <w:sz w:val="32"/>
          <w:szCs w:val="32"/>
          <w:lang w:val="en-US" w:eastAsia="zh-CN"/>
        </w:rPr>
        <w:t>1,114.56</w:t>
      </w:r>
      <w:r>
        <w:rPr>
          <w:rFonts w:hint="eastAsia" w:ascii="仿宋" w:hAnsi="仿宋" w:eastAsia="仿宋"/>
          <w:sz w:val="32"/>
          <w:szCs w:val="32"/>
        </w:rPr>
        <w:t>万元，占</w:t>
      </w:r>
      <w:r>
        <w:rPr>
          <w:rFonts w:hint="eastAsia" w:ascii="仿宋" w:hAnsi="仿宋" w:eastAsia="仿宋"/>
          <w:sz w:val="32"/>
          <w:szCs w:val="32"/>
          <w:lang w:val="en-US" w:eastAsia="zh-CN"/>
        </w:rPr>
        <w:t>39.76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1,688.76</w:t>
      </w:r>
      <w:r>
        <w:rPr>
          <w:rFonts w:hint="eastAsia" w:ascii="仿宋" w:hAnsi="仿宋" w:eastAsia="仿宋"/>
          <w:sz w:val="32"/>
          <w:szCs w:val="32"/>
        </w:rPr>
        <w:t>万元，占</w:t>
      </w:r>
      <w:r>
        <w:rPr>
          <w:rFonts w:hint="eastAsia" w:ascii="仿宋" w:hAnsi="仿宋" w:eastAsia="仿宋"/>
          <w:sz w:val="32"/>
          <w:szCs w:val="32"/>
          <w:lang w:val="en-US" w:eastAsia="zh-CN"/>
        </w:rPr>
        <w:t>60.24</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（一）预决算编制情况</w:t>
      </w:r>
    </w:p>
    <w:p>
      <w:pPr>
        <w:spacing w:line="600" w:lineRule="exact"/>
        <w:ind w:firstLine="640" w:firstLineChars="200"/>
        <w:outlineLvl w:val="1"/>
        <w:rPr>
          <w:rFonts w:hAnsi="Times New Roman"/>
          <w:kern w:val="2"/>
          <w:sz w:val="32"/>
          <w:szCs w:val="32"/>
        </w:rPr>
      </w:pPr>
      <w:r>
        <w:rPr>
          <w:rFonts w:hint="eastAsia" w:ascii="仿宋" w:hAnsi="仿宋" w:eastAsia="仿宋"/>
          <w:sz w:val="32"/>
          <w:szCs w:val="32"/>
        </w:rPr>
        <w:t>按照《预算法》、《中华人民共和国预算法实施条例》及</w:t>
      </w:r>
      <w:r>
        <w:rPr>
          <w:rFonts w:hint="eastAsia" w:ascii="仿宋" w:hAnsi="仿宋" w:eastAsia="仿宋"/>
          <w:sz w:val="32"/>
          <w:szCs w:val="32"/>
          <w:lang w:eastAsia="zh-CN"/>
        </w:rPr>
        <w:t>县财政局预算编制要求，</w:t>
      </w:r>
      <w:r>
        <w:rPr>
          <w:rFonts w:hint="eastAsia" w:ascii="仿宋" w:hAnsi="仿宋" w:eastAsia="仿宋" w:cs="仿宋"/>
          <w:sz w:val="32"/>
          <w:szCs w:val="32"/>
        </w:rPr>
        <w:t>结合本单位实际，按照增收节支、保障重点、优化结构、厉行节约的原则，严控“三公”经费管理，从严从紧编制预算。</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w:t>
      </w:r>
      <w:r>
        <w:rPr>
          <w:rFonts w:hint="eastAsia" w:ascii="仿宋" w:hAnsi="仿宋" w:eastAsia="仿宋"/>
          <w:sz w:val="32"/>
          <w:szCs w:val="32"/>
          <w:lang w:eastAsia="zh-CN"/>
        </w:rPr>
        <w:t>镇</w:t>
      </w:r>
      <w:r>
        <w:rPr>
          <w:rFonts w:hint="eastAsia" w:ascii="仿宋" w:hAnsi="仿宋" w:eastAsia="仿宋"/>
          <w:sz w:val="32"/>
          <w:szCs w:val="32"/>
        </w:rPr>
        <w:t>预算总额</w:t>
      </w:r>
      <w:r>
        <w:rPr>
          <w:rFonts w:hint="eastAsia" w:ascii="仿宋" w:hAnsi="仿宋" w:eastAsia="仿宋"/>
          <w:sz w:val="32"/>
          <w:szCs w:val="32"/>
          <w:lang w:val="en-US" w:eastAsia="zh-CN"/>
        </w:rPr>
        <w:t>2,803.32</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w:t>
      </w:r>
      <w:r>
        <w:rPr>
          <w:rFonts w:hint="eastAsia" w:ascii="仿宋" w:hAnsi="仿宋" w:eastAsia="仿宋"/>
          <w:sz w:val="32"/>
          <w:szCs w:val="32"/>
        </w:rPr>
        <w:t>916.68</w:t>
      </w:r>
      <w:r>
        <w:rPr>
          <w:rFonts w:hint="eastAsia" w:hAnsi="Times New Roman"/>
          <w:kern w:val="2"/>
          <w:sz w:val="32"/>
          <w:szCs w:val="32"/>
        </w:rPr>
        <w:t>万元，</w:t>
      </w:r>
      <w:r>
        <w:rPr>
          <w:rFonts w:hint="eastAsia" w:ascii="仿宋" w:hAnsi="仿宋" w:eastAsia="仿宋"/>
          <w:sz w:val="32"/>
          <w:szCs w:val="32"/>
        </w:rPr>
        <w:t>政府性基金预算财政拨款收入876.13万元，</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10.51万元</w:t>
      </w:r>
      <w:r>
        <w:rPr>
          <w:rFonts w:hint="eastAsia" w:hAnsi="Times New Roman"/>
          <w:kern w:val="2"/>
          <w:sz w:val="32"/>
          <w:szCs w:val="32"/>
        </w:rPr>
        <w:t>。</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（二）执行管理情况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hAnsi="Times New Roman"/>
          <w:kern w:val="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年度，我</w:t>
      </w:r>
      <w:r>
        <w:rPr>
          <w:rFonts w:hint="eastAsia" w:ascii="仿宋" w:hAnsi="仿宋" w:eastAsia="仿宋" w:cs="仿宋"/>
          <w:sz w:val="32"/>
          <w:szCs w:val="32"/>
          <w:lang w:eastAsia="zh-CN"/>
        </w:rPr>
        <w:t>镇</w:t>
      </w:r>
      <w:r>
        <w:rPr>
          <w:rFonts w:hint="eastAsia" w:ascii="仿宋" w:hAnsi="仿宋" w:eastAsia="仿宋" w:cs="仿宋"/>
          <w:sz w:val="32"/>
          <w:szCs w:val="32"/>
        </w:rPr>
        <w:t>预算总额</w:t>
      </w:r>
      <w:r>
        <w:rPr>
          <w:rFonts w:hint="eastAsia" w:ascii="仿宋" w:hAnsi="仿宋" w:eastAsia="仿宋"/>
          <w:sz w:val="32"/>
          <w:szCs w:val="32"/>
          <w:lang w:val="en-US" w:eastAsia="zh-CN"/>
        </w:rPr>
        <w:t>2,803.32</w:t>
      </w:r>
      <w:r>
        <w:rPr>
          <w:rFonts w:hint="eastAsia" w:ascii="仿宋" w:hAnsi="仿宋" w:eastAsia="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按《预算法》和财政有关规定，职工工资等人员经费按月发放，公用经费报计划经财政相关股室审核后及时支付，项目经费下达到我单位后及时申请划拨。在支付方式上，工资实行财政直接支付；项目资金及公用经费申请授权支付并采取转账支付或公务卡支付，尽量减少现金支出。  </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（三）支出绩效情况</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1. 部门支出绩效</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（1）行政运转保障。</w:t>
      </w:r>
    </w:p>
    <w:p>
      <w:pPr>
        <w:pStyle w:val="5"/>
        <w:keepNext w:val="0"/>
        <w:keepLines w:val="0"/>
        <w:pageBreakBefore w:val="0"/>
        <w:kinsoku/>
        <w:wordWrap/>
        <w:overflowPunct/>
        <w:topLinePunct w:val="0"/>
        <w:autoSpaceDE/>
        <w:autoSpaceDN/>
        <w:bidi w:val="0"/>
        <w:adjustRightInd w:val="0"/>
        <w:snapToGrid w:val="0"/>
        <w:spacing w:beforeLines="0" w:line="578" w:lineRule="exact"/>
        <w:ind w:left="0" w:leftChars="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认真贯彻落实中央、省、市重大决策部署，坚持稳中求进工作总基调，坚持新发展理念，认真做好“开源节流、提质增效、规范管理、防范风险”各项工作，加强</w:t>
      </w:r>
      <w:r>
        <w:rPr>
          <w:rFonts w:hint="eastAsia" w:cs="Times New Roman"/>
          <w:kern w:val="2"/>
          <w:sz w:val="32"/>
          <w:szCs w:val="32"/>
          <w:lang w:val="en-US" w:eastAsia="zh-CN" w:bidi="ar-SA"/>
        </w:rPr>
        <w:t>财源税收</w:t>
      </w:r>
      <w:r>
        <w:rPr>
          <w:rFonts w:hint="eastAsia" w:ascii="仿宋_GB2312" w:hAnsi="Times New Roman" w:eastAsia="仿宋_GB2312" w:cs="Times New Roman"/>
          <w:kern w:val="2"/>
          <w:sz w:val="32"/>
          <w:szCs w:val="32"/>
          <w:lang w:val="en-US" w:eastAsia="zh-CN" w:bidi="ar-SA"/>
        </w:rPr>
        <w:t>和</w:t>
      </w:r>
      <w:r>
        <w:rPr>
          <w:rFonts w:hint="eastAsia" w:cs="Times New Roman"/>
          <w:kern w:val="2"/>
          <w:sz w:val="32"/>
          <w:szCs w:val="32"/>
          <w:lang w:val="en-US" w:eastAsia="zh-CN" w:bidi="ar-SA"/>
        </w:rPr>
        <w:t>支出</w:t>
      </w:r>
      <w:r>
        <w:rPr>
          <w:rFonts w:hint="eastAsia" w:ascii="仿宋_GB2312" w:hAnsi="Times New Roman" w:eastAsia="仿宋_GB2312" w:cs="Times New Roman"/>
          <w:kern w:val="2"/>
          <w:sz w:val="32"/>
          <w:szCs w:val="32"/>
          <w:lang w:val="en-US" w:eastAsia="zh-CN" w:bidi="ar-SA"/>
        </w:rPr>
        <w:t>管理，进一步财政监督、预算绩效管理、财政信息公开等工作，使财政资金发挥最大效益。</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（2）机关厉行节约。</w:t>
      </w:r>
    </w:p>
    <w:p>
      <w:pPr>
        <w:pStyle w:val="5"/>
        <w:keepNext w:val="0"/>
        <w:keepLines w:val="0"/>
        <w:pageBreakBefore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ascii="仿宋" w:hAnsi="仿宋" w:eastAsia="仿宋" w:cs="仿宋"/>
          <w:sz w:val="32"/>
          <w:szCs w:val="32"/>
          <w:lang w:val="en-US" w:eastAsia="zh-CN"/>
        </w:rPr>
      </w:pPr>
      <w:r>
        <w:rPr>
          <w:rFonts w:hint="eastAsia" w:hAnsi="Times New Roman"/>
          <w:kern w:val="2"/>
          <w:sz w:val="32"/>
          <w:szCs w:val="32"/>
        </w:rPr>
        <w:t>我</w:t>
      </w:r>
      <w:r>
        <w:rPr>
          <w:rFonts w:hint="eastAsia"/>
          <w:kern w:val="2"/>
          <w:sz w:val="32"/>
          <w:szCs w:val="32"/>
          <w:lang w:eastAsia="zh-CN"/>
        </w:rPr>
        <w:t>镇</w:t>
      </w:r>
      <w:r>
        <w:rPr>
          <w:rFonts w:hint="eastAsia" w:hAnsi="Times New Roman"/>
          <w:kern w:val="2"/>
          <w:sz w:val="32"/>
          <w:szCs w:val="32"/>
        </w:rPr>
        <w:t>加强三公经费管理，严格控制三公经费支出。三公”经费支出</w:t>
      </w:r>
      <w:r>
        <w:rPr>
          <w:rFonts w:hint="eastAsia"/>
          <w:kern w:val="2"/>
          <w:sz w:val="32"/>
          <w:szCs w:val="32"/>
          <w:lang w:eastAsia="zh-CN"/>
        </w:rPr>
        <w:t>共计</w:t>
      </w:r>
      <w:r>
        <w:rPr>
          <w:rFonts w:hint="eastAsia"/>
          <w:kern w:val="2"/>
          <w:sz w:val="32"/>
          <w:szCs w:val="32"/>
          <w:lang w:val="en-US" w:eastAsia="zh-CN"/>
        </w:rPr>
        <w:t>19.45万元，比去年下降10.78%，</w:t>
      </w:r>
      <w:r>
        <w:rPr>
          <w:rFonts w:hint="eastAsia"/>
          <w:kern w:val="2"/>
          <w:sz w:val="32"/>
          <w:szCs w:val="32"/>
          <w:lang w:eastAsia="zh-CN"/>
        </w:rPr>
        <w:t>其中</w:t>
      </w:r>
      <w:r>
        <w:rPr>
          <w:rFonts w:hint="eastAsia" w:hAnsi="Times New Roman"/>
          <w:kern w:val="2"/>
          <w:sz w:val="32"/>
          <w:szCs w:val="32"/>
        </w:rPr>
        <w:t>：因公出国（境）经费</w:t>
      </w:r>
      <w:r>
        <w:rPr>
          <w:rFonts w:hint="eastAsia"/>
          <w:kern w:val="2"/>
          <w:sz w:val="32"/>
          <w:szCs w:val="32"/>
          <w:lang w:eastAsia="zh-CN"/>
        </w:rPr>
        <w:t>为</w:t>
      </w:r>
      <w:r>
        <w:rPr>
          <w:rFonts w:hint="eastAsia"/>
          <w:kern w:val="2"/>
          <w:sz w:val="32"/>
          <w:szCs w:val="32"/>
          <w:lang w:val="en-US" w:eastAsia="zh-CN"/>
        </w:rPr>
        <w:t>0.00万元</w:t>
      </w:r>
      <w:r>
        <w:rPr>
          <w:rFonts w:hint="eastAsia" w:hAnsi="Times New Roman"/>
          <w:kern w:val="2"/>
          <w:sz w:val="32"/>
          <w:szCs w:val="32"/>
        </w:rPr>
        <w:t>，公务用车运行维护费</w:t>
      </w:r>
      <w:r>
        <w:rPr>
          <w:rFonts w:hint="eastAsia"/>
          <w:kern w:val="2"/>
          <w:sz w:val="32"/>
          <w:szCs w:val="32"/>
          <w:lang w:val="en-US" w:eastAsia="zh-CN"/>
        </w:rPr>
        <w:t>10.05</w:t>
      </w:r>
      <w:r>
        <w:rPr>
          <w:rFonts w:hint="eastAsia" w:hAnsi="Times New Roman"/>
          <w:kern w:val="2"/>
          <w:sz w:val="32"/>
          <w:szCs w:val="32"/>
        </w:rPr>
        <w:t>万元</w:t>
      </w:r>
      <w:r>
        <w:rPr>
          <w:rFonts w:hint="eastAsia"/>
          <w:kern w:val="2"/>
          <w:sz w:val="32"/>
          <w:szCs w:val="32"/>
          <w:lang w:val="en-US" w:eastAsia="zh-CN"/>
        </w:rPr>
        <w:t>；</w:t>
      </w:r>
      <w:r>
        <w:rPr>
          <w:rFonts w:hint="eastAsia" w:hAnsi="Times New Roman"/>
          <w:kern w:val="2"/>
          <w:sz w:val="32"/>
          <w:szCs w:val="32"/>
        </w:rPr>
        <w:t>公务接待费</w:t>
      </w:r>
      <w:r>
        <w:rPr>
          <w:rFonts w:hint="eastAsia" w:ascii="仿宋" w:hAnsi="仿宋" w:eastAsia="仿宋"/>
          <w:color w:val="auto"/>
          <w:sz w:val="32"/>
          <w:szCs w:val="32"/>
          <w:highlight w:val="none"/>
          <w:lang w:val="en-US" w:eastAsia="zh-CN"/>
        </w:rPr>
        <w:t>9.40</w:t>
      </w:r>
      <w:r>
        <w:rPr>
          <w:rFonts w:hint="eastAsia" w:hAnsi="Times New Roman"/>
          <w:kern w:val="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 xml:space="preserve">结果应用情况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在执行各项预算资金中，严格按照中央、省、市、县各级财经政策规定，管好、用好每笔资金。同时，按照单位内部控制建设要求也制定了相应的“财务管理规定”等相关制度，在专项项目资金使用过程中，严格按照项目资金管理办法的规定做好项目实施和监管，切实做到专款专用，从而发挥好项目资金对项目实施的促进作用；资金拨付遵照相关要求经党组会研究决定，杜绝违规违纪事件的发生。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评价结论及建议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评价结论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财政资金使用用途和目的，泸县百和镇人民政府健全了资金管理制度，款项支付规范，最大限度地发挥了财政资金的使用效率，认真执行年初预算资金计划，账务核算及时规范，保障了机关正常运转，促进了项目建设全面完成，较好地完成了年度工作目标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（二）存在问题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通过对</w:t>
      </w:r>
      <w:r>
        <w:rPr>
          <w:rFonts w:hint="eastAsia" w:ascii="仿宋" w:hAnsi="仿宋" w:eastAsia="仿宋" w:cs="仿宋"/>
          <w:sz w:val="32"/>
          <w:szCs w:val="32"/>
          <w:lang w:eastAsia="zh-CN"/>
        </w:rPr>
        <w:t>2022</w:t>
      </w:r>
      <w:r>
        <w:rPr>
          <w:rFonts w:hint="eastAsia" w:ascii="仿宋" w:hAnsi="仿宋" w:eastAsia="仿宋" w:cs="仿宋"/>
          <w:sz w:val="32"/>
          <w:szCs w:val="32"/>
        </w:rPr>
        <w:t>年度部门整体支出绩效评价，我们认识到，绩效管理不只是财政支出方面，而应更加注重产出及效率，这样，有利于我们强化支出的责任，提高财政资金的使用效率，更好地促进我们履行职责。自评发现存在基础工作管理方面，部分内控制度得不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改进建议 </w:t>
      </w:r>
    </w:p>
    <w:p>
      <w:pPr>
        <w:pStyle w:val="5"/>
        <w:keepNext w:val="0"/>
        <w:keepLines w:val="0"/>
        <w:pageBreakBefore w:val="0"/>
        <w:kinsoku/>
        <w:wordWrap/>
        <w:overflowPunct/>
        <w:topLinePunct w:val="0"/>
        <w:autoSpaceDE/>
        <w:autoSpaceDN/>
        <w:bidi w:val="0"/>
        <w:spacing w:beforeLines="0" w:line="560" w:lineRule="exact"/>
        <w:ind w:left="0" w:leftChars="0" w:firstLine="640" w:firstLineChars="200"/>
        <w:jc w:val="both"/>
        <w:textAlignment w:val="auto"/>
        <w:outlineLvl w:val="9"/>
        <w:rPr>
          <w:rFonts w:hAnsi="宋体" w:cs="宋体"/>
          <w:sz w:val="32"/>
          <w:szCs w:val="32"/>
          <w:shd w:val="clear" w:color="auto" w:fill="FFFFFF"/>
          <w:lang w:val="zh-CN"/>
        </w:rPr>
      </w:pPr>
      <w:r>
        <w:rPr>
          <w:rFonts w:hint="eastAsia" w:ascii="仿宋" w:hAnsi="仿宋" w:eastAsia="仿宋" w:cs="仿宋"/>
          <w:sz w:val="32"/>
          <w:szCs w:val="32"/>
        </w:rPr>
        <w:t>细化预算编制工作，认真做好预算的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pageBreakBefore w:val="0"/>
        <w:kinsoku/>
        <w:wordWrap/>
        <w:overflowPunct/>
        <w:topLinePunct w:val="0"/>
        <w:autoSpaceDE/>
        <w:autoSpaceDN/>
        <w:bidi w:val="0"/>
        <w:spacing w:beforeLines="0" w:line="560" w:lineRule="exact"/>
        <w:ind w:left="0" w:leftChars="0" w:firstLine="640" w:firstLineChars="200"/>
        <w:jc w:val="both"/>
        <w:textAlignment w:val="auto"/>
        <w:outlineLvl w:val="9"/>
        <w:rPr>
          <w:rFonts w:hint="eastAsia" w:hAnsi="宋体" w:cs="宋体"/>
          <w:sz w:val="32"/>
          <w:szCs w:val="32"/>
          <w:shd w:val="clear" w:color="auto" w:fill="FFFFFF"/>
          <w:lang w:val="zh-CN"/>
        </w:rPr>
      </w:pPr>
    </w:p>
    <w:p>
      <w:pPr>
        <w:pStyle w:val="5"/>
        <w:rPr>
          <w:rFonts w:hint="eastAsia" w:ascii="黑体" w:hAnsi="黑体" w:eastAsia="黑体"/>
          <w:sz w:val="44"/>
          <w:szCs w:val="44"/>
        </w:rPr>
      </w:pPr>
      <w:bookmarkStart w:id="67" w:name="_Toc15396618"/>
    </w:p>
    <w:p>
      <w:pPr>
        <w:pStyle w:val="5"/>
        <w:rPr>
          <w:rFonts w:hint="eastAsia" w:ascii="黑体" w:hAnsi="黑体" w:eastAsia="黑体"/>
          <w:sz w:val="44"/>
          <w:szCs w:val="44"/>
        </w:rPr>
      </w:pP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（征地补偿支出项目）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为征地补偿支出，在本年度进行申报，主要通过财政资金实施，符合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本项目主要目标内容为做好被征地群众征收补偿发放工作，确保征地补偿按实补偿到群众，让群众满意，保障工作顺利开展。本项目绩效目标及完成情况具体为：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产出指标：数量指标：发放覆盖率满100%，</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质量指标：足额发放。</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效益指标：社会效益：保障工作顺利进行。</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满意度指标：服务对象满意度：被征地群众满意度达到90%。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成本指标：经济成本：征地补偿成本控制在预算的100%以内。</w:t>
      </w:r>
    </w:p>
    <w:p>
      <w:pPr>
        <w:pStyle w:val="8"/>
        <w:rPr>
          <w:rFonts w:hint="eastAsia"/>
          <w:lang w:val="en-US" w:eastAsia="zh-CN"/>
        </w:rPr>
      </w:pPr>
    </w:p>
    <w:p>
      <w:pPr>
        <w:keepNext w:val="0"/>
        <w:keepLines w:val="0"/>
        <w:pageBreakBefore w:val="0"/>
        <w:numPr>
          <w:ilvl w:val="0"/>
          <w:numId w:val="10"/>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本项目为被征地群众征地补偿，资金申报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rPr>
        <w:t>项目总计划投资</w:t>
      </w:r>
      <w:r>
        <w:rPr>
          <w:rFonts w:hint="eastAsia" w:eastAsia="仿宋_GB2312" w:cs="Times New Roman"/>
          <w:bCs/>
          <w:color w:val="000000" w:themeColor="text1"/>
          <w:sz w:val="32"/>
          <w:szCs w:val="32"/>
          <w:lang w:val="en-US" w:eastAsia="zh-CN"/>
        </w:rPr>
        <w:t>103.83</w:t>
      </w:r>
      <w:r>
        <w:rPr>
          <w:rFonts w:hint="default" w:ascii="Times New Roman" w:hAnsi="Times New Roman" w:eastAsia="仿宋_GB2312" w:cs="Times New Roman"/>
          <w:bCs/>
          <w:color w:val="000000" w:themeColor="text1"/>
          <w:sz w:val="32"/>
          <w:szCs w:val="32"/>
        </w:rPr>
        <w:t>万元，其中</w:t>
      </w:r>
      <w:r>
        <w:rPr>
          <w:rFonts w:hint="eastAsia" w:ascii="Times New Roman" w:hAnsi="Times New Roman" w:eastAsia="仿宋_GB2312" w:cs="Times New Roman"/>
          <w:bCs/>
          <w:color w:val="000000" w:themeColor="text1"/>
          <w:sz w:val="32"/>
          <w:szCs w:val="32"/>
          <w:lang w:eastAsia="zh-CN"/>
        </w:rPr>
        <w:t>财政</w:t>
      </w:r>
      <w:r>
        <w:rPr>
          <w:rFonts w:hint="default" w:ascii="Times New Roman" w:hAnsi="Times New Roman" w:eastAsia="仿宋_GB2312" w:cs="Times New Roman"/>
          <w:bCs/>
          <w:color w:val="000000" w:themeColor="text1"/>
          <w:sz w:val="32"/>
          <w:szCs w:val="32"/>
        </w:rPr>
        <w:t>资金</w:t>
      </w:r>
      <w:r>
        <w:rPr>
          <w:rFonts w:hint="eastAsia" w:ascii="Times New Roman" w:hAnsi="Times New Roman" w:eastAsia="仿宋_GB2312" w:cs="Times New Roman"/>
          <w:bCs/>
          <w:color w:val="000000" w:themeColor="text1"/>
          <w:sz w:val="32"/>
          <w:szCs w:val="32"/>
          <w:lang w:val="en-US" w:eastAsia="zh-CN"/>
        </w:rPr>
        <w:t>103.83</w:t>
      </w:r>
      <w:r>
        <w:rPr>
          <w:rFonts w:hint="default" w:ascii="Times New Roman" w:hAnsi="Times New Roman" w:eastAsia="仿宋_GB2312" w:cs="Times New Roman"/>
          <w:bCs/>
          <w:color w:val="000000" w:themeColor="text1"/>
          <w:sz w:val="32"/>
          <w:szCs w:val="32"/>
        </w:rPr>
        <w:t>万元</w:t>
      </w:r>
      <w:r>
        <w:rPr>
          <w:rFonts w:hint="eastAsia" w:ascii="Times New Roman" w:hAnsi="Times New Roman" w:eastAsia="仿宋_GB2312" w:cs="Times New Roman"/>
          <w:bCs/>
          <w:color w:val="000000" w:themeColor="text1"/>
          <w:sz w:val="32"/>
          <w:szCs w:val="32"/>
          <w:lang w:eastAsia="zh-CN"/>
        </w:rPr>
        <w:t>。截止评价时点，及时到位资金共</w:t>
      </w:r>
      <w:r>
        <w:rPr>
          <w:rFonts w:hint="eastAsia" w:ascii="Times New Roman" w:hAnsi="Times New Roman" w:eastAsia="仿宋_GB2312" w:cs="Times New Roman"/>
          <w:bCs/>
          <w:color w:val="000000" w:themeColor="text1"/>
          <w:sz w:val="32"/>
          <w:szCs w:val="32"/>
          <w:lang w:val="en-US" w:eastAsia="zh-CN"/>
        </w:rPr>
        <w:t>103.83万元，资金到位率100%。</w:t>
      </w:r>
    </w:p>
    <w:p>
      <w:pPr>
        <w:numPr>
          <w:ilvl w:val="0"/>
          <w:numId w:val="11"/>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default" w:ascii="Times New Roman" w:hAnsi="Times New Roman" w:eastAsia="仿宋_GB2312" w:cs="Times New Roman"/>
          <w:sz w:val="32"/>
          <w:szCs w:val="32"/>
          <w:lang w:val="zh-CN"/>
        </w:rPr>
        <w:t>截止评价时点</w:t>
      </w:r>
      <w:r>
        <w:rPr>
          <w:rFonts w:hint="eastAsia" w:ascii="Times New Roman" w:hAnsi="Times New Roman" w:eastAsia="仿宋_GB2312" w:cs="Times New Roman"/>
          <w:sz w:val="32"/>
          <w:szCs w:val="32"/>
          <w:lang w:val="zh-CN"/>
        </w:rPr>
        <w:t>，我镇共用于支付征地补偿支出共计</w:t>
      </w:r>
      <w:r>
        <w:rPr>
          <w:rFonts w:hint="eastAsia" w:ascii="Times New Roman" w:hAnsi="Times New Roman" w:eastAsia="仿宋_GB2312" w:cs="Times New Roman"/>
          <w:sz w:val="32"/>
          <w:szCs w:val="32"/>
          <w:lang w:val="en-US" w:eastAsia="zh-CN"/>
        </w:rPr>
        <w:t>103.83万元，与预算相符，资金使用率100%。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103.83万元、实际投入103.83万元。主要完成情况为：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产出指标：数量指标：已完成发放覆盖率100%，</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质量指标：已全部足额发放。</w:t>
      </w:r>
    </w:p>
    <w:p>
      <w:pPr>
        <w:keepNext w:val="0"/>
        <w:keepLines w:val="0"/>
        <w:pageBreakBefore w:val="0"/>
        <w:numPr>
          <w:ilvl w:val="0"/>
          <w:numId w:val="12"/>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通过本项目，确保了征地补偿按实补偿到群众，让群众满意，保障了工作顺利开展，主要指标情况为：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效益指标：社会效益：征地工作及后续工作已顺利进行。</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满意度指标：服务对象满意度：被征地群众满意度达到95%。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成本指标：经济成本：征地补偿完成预算的100%。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12"/>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numPr>
          <w:ilvl w:val="0"/>
          <w:numId w:val="0"/>
        </w:numPr>
        <w:ind w:left="720" w:leftChars="0"/>
        <w:rPr>
          <w:rFonts w:hint="default" w:ascii="Times New Roman" w:hAnsi="Times New Roman" w:eastAsia="仿宋_GB2312" w:cs="Times New Roman"/>
          <w:b/>
          <w:sz w:val="32"/>
          <w:szCs w:val="32"/>
          <w:lang w:val="zh-CN"/>
        </w:rPr>
      </w:pPr>
    </w:p>
    <w:p>
      <w:pPr>
        <w:numPr>
          <w:ilvl w:val="0"/>
          <w:numId w:val="0"/>
        </w:numPr>
        <w:ind w:left="720" w:leftChars="0"/>
        <w:rPr>
          <w:rFonts w:hint="default" w:ascii="Times New Roman" w:hAnsi="Times New Roman" w:eastAsia="仿宋_GB2312" w:cs="Times New Roman"/>
          <w:b/>
          <w:sz w:val="32"/>
          <w:szCs w:val="32"/>
          <w:lang w:val="zh-CN"/>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（百和镇河长制工作经费项目）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w:t>
      </w:r>
      <w:r>
        <w:rPr>
          <w:rFonts w:hint="default" w:ascii="Times New Roman" w:hAnsi="Times New Roman" w:eastAsia="仿宋_GB2312" w:cs="Times New Roman"/>
          <w:sz w:val="32"/>
          <w:szCs w:val="32"/>
          <w:lang w:val="zh-CN"/>
        </w:rPr>
        <w:t>百和镇河长制工作经费</w:t>
      </w:r>
      <w:r>
        <w:rPr>
          <w:rFonts w:hint="eastAsia" w:ascii="Times New Roman" w:hAnsi="Times New Roman" w:eastAsia="仿宋_GB2312" w:cs="Times New Roman"/>
          <w:sz w:val="32"/>
          <w:szCs w:val="32"/>
          <w:lang w:val="zh-CN"/>
        </w:rPr>
        <w:t>，主要用于保障</w:t>
      </w:r>
      <w:r>
        <w:rPr>
          <w:rFonts w:hint="eastAsia" w:ascii="Times New Roman" w:hAnsi="Times New Roman" w:eastAsia="仿宋_GB2312" w:cs="Times New Roman"/>
          <w:sz w:val="32"/>
          <w:szCs w:val="32"/>
          <w:lang w:val="zh-CN" w:eastAsia="zh-CN"/>
        </w:rPr>
        <w:t>水质达标</w:t>
      </w:r>
      <w:r>
        <w:rPr>
          <w:rFonts w:hint="eastAsia" w:ascii="Times New Roman" w:hAnsi="Times New Roman" w:eastAsia="仿宋_GB2312" w:cs="Times New Roman"/>
          <w:sz w:val="32"/>
          <w:szCs w:val="32"/>
          <w:lang w:val="zh-CN"/>
        </w:rPr>
        <w:t>支出，项目在本年度进行申报，主要通过财政资金实施，符合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本项目主要目标内容为开展百和镇内河长制工作，确保镇内河水水质达标，维护好镇内生态环境，提升群众满意度与幸福指数。本项目绩效目标情况具体为：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产出指标：质量指标：水质达标；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效益指标：生态效益：生态环境变好；</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可持续发展：水质持续达标；</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成本指标：经济成本：支出成本控制在预算的100%以内。</w:t>
      </w:r>
    </w:p>
    <w:p>
      <w:pPr>
        <w:pStyle w:val="8"/>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本项目为百和镇河长制工作经费，资金申报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rPr>
        <w:t>项目总计划投资</w:t>
      </w:r>
      <w:r>
        <w:rPr>
          <w:rFonts w:hint="eastAsia" w:eastAsia="仿宋_GB2312" w:cs="Times New Roman"/>
          <w:bCs/>
          <w:color w:val="000000" w:themeColor="text1"/>
          <w:sz w:val="32"/>
          <w:szCs w:val="32"/>
          <w:lang w:val="en-US" w:eastAsia="zh-CN"/>
        </w:rPr>
        <w:t>70.00</w:t>
      </w:r>
      <w:r>
        <w:rPr>
          <w:rFonts w:hint="default" w:ascii="Times New Roman" w:hAnsi="Times New Roman" w:eastAsia="仿宋_GB2312" w:cs="Times New Roman"/>
          <w:bCs/>
          <w:color w:val="000000" w:themeColor="text1"/>
          <w:sz w:val="32"/>
          <w:szCs w:val="32"/>
        </w:rPr>
        <w:t>万元，其中</w:t>
      </w:r>
      <w:r>
        <w:rPr>
          <w:rFonts w:hint="eastAsia" w:ascii="Times New Roman" w:hAnsi="Times New Roman" w:eastAsia="仿宋_GB2312" w:cs="Times New Roman"/>
          <w:bCs/>
          <w:color w:val="000000" w:themeColor="text1"/>
          <w:sz w:val="32"/>
          <w:szCs w:val="32"/>
          <w:lang w:eastAsia="zh-CN"/>
        </w:rPr>
        <w:t>财政</w:t>
      </w:r>
      <w:r>
        <w:rPr>
          <w:rFonts w:hint="default" w:ascii="Times New Roman" w:hAnsi="Times New Roman" w:eastAsia="仿宋_GB2312" w:cs="Times New Roman"/>
          <w:bCs/>
          <w:color w:val="000000" w:themeColor="text1"/>
          <w:sz w:val="32"/>
          <w:szCs w:val="32"/>
        </w:rPr>
        <w:t>资金</w:t>
      </w:r>
      <w:r>
        <w:rPr>
          <w:rFonts w:hint="eastAsia" w:ascii="Times New Roman" w:hAnsi="Times New Roman" w:eastAsia="仿宋_GB2312" w:cs="Times New Roman"/>
          <w:bCs/>
          <w:color w:val="000000" w:themeColor="text1"/>
          <w:sz w:val="32"/>
          <w:szCs w:val="32"/>
          <w:lang w:val="en-US" w:eastAsia="zh-CN"/>
        </w:rPr>
        <w:t>70.00</w:t>
      </w:r>
      <w:r>
        <w:rPr>
          <w:rFonts w:hint="default" w:ascii="Times New Roman" w:hAnsi="Times New Roman" w:eastAsia="仿宋_GB2312" w:cs="Times New Roman"/>
          <w:bCs/>
          <w:color w:val="000000" w:themeColor="text1"/>
          <w:sz w:val="32"/>
          <w:szCs w:val="32"/>
        </w:rPr>
        <w:t>万元</w:t>
      </w:r>
      <w:r>
        <w:rPr>
          <w:rFonts w:hint="eastAsia" w:ascii="Times New Roman" w:hAnsi="Times New Roman" w:eastAsia="仿宋_GB2312" w:cs="Times New Roman"/>
          <w:bCs/>
          <w:color w:val="000000" w:themeColor="text1"/>
          <w:sz w:val="32"/>
          <w:szCs w:val="32"/>
          <w:lang w:eastAsia="zh-CN"/>
        </w:rPr>
        <w:t>。截止</w:t>
      </w:r>
      <w:r>
        <w:rPr>
          <w:rFonts w:hint="eastAsia" w:ascii="Times New Roman" w:hAnsi="Times New Roman" w:eastAsia="仿宋_GB2312" w:cs="Times New Roman"/>
          <w:bCs/>
          <w:color w:val="000000" w:themeColor="text1"/>
          <w:sz w:val="32"/>
          <w:szCs w:val="32"/>
          <w:lang w:val="en-US" w:eastAsia="zh-CN"/>
        </w:rPr>
        <w:t>2022年12月31日</w:t>
      </w:r>
      <w:r>
        <w:rPr>
          <w:rFonts w:hint="eastAsia" w:ascii="Times New Roman" w:hAnsi="Times New Roman" w:eastAsia="仿宋_GB2312" w:cs="Times New Roman"/>
          <w:bCs/>
          <w:color w:val="000000" w:themeColor="text1"/>
          <w:sz w:val="32"/>
          <w:szCs w:val="32"/>
          <w:lang w:eastAsia="zh-CN"/>
        </w:rPr>
        <w:t>，及时到位资金共</w:t>
      </w:r>
      <w:r>
        <w:rPr>
          <w:rFonts w:hint="eastAsia" w:ascii="Times New Roman" w:hAnsi="Times New Roman" w:eastAsia="仿宋_GB2312" w:cs="Times New Roman"/>
          <w:bCs/>
          <w:color w:val="000000" w:themeColor="text1"/>
          <w:sz w:val="32"/>
          <w:szCs w:val="32"/>
          <w:lang w:val="en-US" w:eastAsia="zh-CN"/>
        </w:rPr>
        <w:t>70.00万元，资金到位率100%。</w:t>
      </w:r>
    </w:p>
    <w:p>
      <w:pPr>
        <w:numPr>
          <w:ilvl w:val="0"/>
          <w:numId w:val="11"/>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eastAsia" w:ascii="Times New Roman" w:hAnsi="Times New Roman" w:eastAsia="仿宋_GB2312" w:cs="Times New Roman"/>
          <w:bCs/>
          <w:color w:val="000000" w:themeColor="text1"/>
          <w:sz w:val="32"/>
          <w:szCs w:val="32"/>
          <w:lang w:eastAsia="zh-CN"/>
        </w:rPr>
        <w:t>截止</w:t>
      </w:r>
      <w:r>
        <w:rPr>
          <w:rFonts w:hint="eastAsia" w:ascii="Times New Roman" w:hAnsi="Times New Roman" w:eastAsia="仿宋_GB2312" w:cs="Times New Roman"/>
          <w:bCs/>
          <w:color w:val="000000" w:themeColor="text1"/>
          <w:sz w:val="32"/>
          <w:szCs w:val="32"/>
          <w:lang w:val="en-US" w:eastAsia="zh-CN"/>
        </w:rPr>
        <w:t>2022年12月31日</w:t>
      </w:r>
      <w:r>
        <w:rPr>
          <w:rFonts w:hint="eastAsia" w:ascii="Times New Roman" w:hAnsi="Times New Roman" w:eastAsia="仿宋_GB2312" w:cs="Times New Roman"/>
          <w:sz w:val="32"/>
          <w:szCs w:val="32"/>
          <w:lang w:val="zh-CN"/>
        </w:rPr>
        <w:t>，我镇共用于河长制支出共计</w:t>
      </w:r>
      <w:r>
        <w:rPr>
          <w:rFonts w:hint="eastAsia" w:ascii="Times New Roman" w:hAnsi="Times New Roman" w:eastAsia="仿宋_GB2312" w:cs="Times New Roman"/>
          <w:sz w:val="32"/>
          <w:szCs w:val="32"/>
          <w:lang w:val="en-US" w:eastAsia="zh-CN"/>
        </w:rPr>
        <w:t>70.00万元，与预算相符，资金使用率100%。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70.00万元、实际投入70.00万元。主要完成情况为：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产出指标：质量指标：百和镇内水域水质持续达标。</w:t>
      </w:r>
    </w:p>
    <w:p>
      <w:pPr>
        <w:keepNext w:val="0"/>
        <w:keepLines w:val="0"/>
        <w:pageBreakBefore w:val="0"/>
        <w:numPr>
          <w:ilvl w:val="0"/>
          <w:numId w:val="12"/>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通过本项目，保障了百和镇内河长制工作的顺利进行，确保镇内河水水质达标，维护好镇内生态环境，提升群众满意度与幸福指数，主要指标情况为：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效益指标：社会效益：镇内水质达标；</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可持续发展：水质达标持续；</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成本指标：经济成本：支出完成预算的100%。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12"/>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30"/>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（百和东岳核心区建设衔接资金项目）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w:t>
      </w:r>
      <w:r>
        <w:rPr>
          <w:rFonts w:hint="default" w:ascii="Times New Roman" w:hAnsi="Times New Roman" w:eastAsia="仿宋_GB2312" w:cs="Times New Roman"/>
          <w:sz w:val="32"/>
          <w:szCs w:val="32"/>
          <w:lang w:val="zh-CN"/>
        </w:rPr>
        <w:t>百和东岳核心区建设衔接资金</w:t>
      </w:r>
      <w:r>
        <w:rPr>
          <w:rFonts w:hint="eastAsia" w:ascii="Times New Roman" w:hAnsi="Times New Roman" w:eastAsia="仿宋_GB2312" w:cs="Times New Roman"/>
          <w:sz w:val="32"/>
          <w:szCs w:val="32"/>
          <w:lang w:val="zh-CN"/>
        </w:rPr>
        <w:t>，主要用于</w:t>
      </w:r>
      <w:r>
        <w:rPr>
          <w:rFonts w:hint="eastAsia" w:ascii="Times New Roman" w:hAnsi="Times New Roman" w:eastAsia="仿宋_GB2312" w:cs="Times New Roman"/>
          <w:sz w:val="32"/>
          <w:szCs w:val="32"/>
          <w:lang w:val="zh-CN" w:eastAsia="zh-CN"/>
        </w:rPr>
        <w:t>推进“东翼”泸县核心区建设</w:t>
      </w:r>
      <w:r>
        <w:rPr>
          <w:rFonts w:hint="eastAsia" w:ascii="Times New Roman" w:hAnsi="Times New Roman" w:eastAsia="仿宋_GB2312" w:cs="Times New Roman"/>
          <w:sz w:val="32"/>
          <w:szCs w:val="32"/>
          <w:lang w:val="zh-CN"/>
        </w:rPr>
        <w:t>支出，项目在本年度进行申报，主要通过财政资金实施，符合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本项目主要目标内容为开展百和镇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工作，确保粮油核心区按时顺利建成，推动乡村振兴发展，增加群众收入，提升群众满意度与幸福指数。本项目绩效目标情况具体为：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产出指标：数量指标：受益人数大于等于570人、群众收入增加大于等于30元/年</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效益指标：生态效益：推进乡村振兴建设大于等于30亩；</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成本指标：经济成本：支出成本控制在预算的100%以内。</w:t>
      </w:r>
    </w:p>
    <w:p>
      <w:pPr>
        <w:pStyle w:val="8"/>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321" w:firstLineChars="1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w:t>
      </w:r>
      <w:r>
        <w:rPr>
          <w:rFonts w:hint="eastAsia" w:ascii="Times New Roman" w:hAnsi="Times New Roman" w:eastAsia="仿宋_GB2312" w:cs="Times New Roman"/>
          <w:sz w:val="32"/>
          <w:szCs w:val="32"/>
          <w:lang w:val="en-US" w:eastAsia="zh-CN"/>
        </w:rPr>
        <w:t>开展百和镇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zh-CN"/>
        </w:rPr>
        <w:t>衔接资金</w:t>
      </w:r>
      <w:r>
        <w:rPr>
          <w:rFonts w:hint="eastAsia" w:ascii="Times New Roman" w:hAnsi="Times New Roman" w:eastAsia="仿宋_GB2312" w:cs="Times New Roman"/>
          <w:sz w:val="32"/>
          <w:szCs w:val="32"/>
          <w:lang w:val="zh-CN"/>
        </w:rPr>
        <w:t>，资金申报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rPr>
        <w:t>项目总计划投资</w:t>
      </w:r>
      <w:r>
        <w:rPr>
          <w:rFonts w:hint="eastAsia" w:eastAsia="仿宋_GB2312" w:cs="Times New Roman"/>
          <w:bCs/>
          <w:color w:val="000000" w:themeColor="text1"/>
          <w:sz w:val="32"/>
          <w:szCs w:val="32"/>
          <w:lang w:val="en-US" w:eastAsia="zh-CN"/>
        </w:rPr>
        <w:t>97.02</w:t>
      </w:r>
      <w:r>
        <w:rPr>
          <w:rFonts w:hint="default" w:ascii="Times New Roman" w:hAnsi="Times New Roman" w:eastAsia="仿宋_GB2312" w:cs="Times New Roman"/>
          <w:bCs/>
          <w:color w:val="000000" w:themeColor="text1"/>
          <w:sz w:val="32"/>
          <w:szCs w:val="32"/>
        </w:rPr>
        <w:t>万元，其中</w:t>
      </w:r>
      <w:r>
        <w:rPr>
          <w:rFonts w:hint="eastAsia" w:ascii="Times New Roman" w:hAnsi="Times New Roman" w:eastAsia="仿宋_GB2312" w:cs="Times New Roman"/>
          <w:bCs/>
          <w:color w:val="000000" w:themeColor="text1"/>
          <w:sz w:val="32"/>
          <w:szCs w:val="32"/>
          <w:lang w:eastAsia="zh-CN"/>
        </w:rPr>
        <w:t>财政</w:t>
      </w:r>
      <w:r>
        <w:rPr>
          <w:rFonts w:hint="default" w:ascii="Times New Roman" w:hAnsi="Times New Roman" w:eastAsia="仿宋_GB2312" w:cs="Times New Roman"/>
          <w:bCs/>
          <w:color w:val="000000" w:themeColor="text1"/>
          <w:sz w:val="32"/>
          <w:szCs w:val="32"/>
        </w:rPr>
        <w:t>资金</w:t>
      </w:r>
      <w:r>
        <w:rPr>
          <w:rFonts w:hint="eastAsia" w:ascii="Times New Roman" w:hAnsi="Times New Roman" w:eastAsia="仿宋_GB2312" w:cs="Times New Roman"/>
          <w:bCs/>
          <w:color w:val="000000" w:themeColor="text1"/>
          <w:sz w:val="32"/>
          <w:szCs w:val="32"/>
          <w:lang w:val="en-US" w:eastAsia="zh-CN"/>
        </w:rPr>
        <w:t>97.02</w:t>
      </w:r>
      <w:r>
        <w:rPr>
          <w:rFonts w:hint="default" w:ascii="Times New Roman" w:hAnsi="Times New Roman" w:eastAsia="仿宋_GB2312" w:cs="Times New Roman"/>
          <w:bCs/>
          <w:color w:val="000000" w:themeColor="text1"/>
          <w:sz w:val="32"/>
          <w:szCs w:val="32"/>
        </w:rPr>
        <w:t>万元</w:t>
      </w:r>
      <w:r>
        <w:rPr>
          <w:rFonts w:hint="eastAsia" w:ascii="Times New Roman" w:hAnsi="Times New Roman" w:eastAsia="仿宋_GB2312" w:cs="Times New Roman"/>
          <w:bCs/>
          <w:color w:val="000000" w:themeColor="text1"/>
          <w:sz w:val="32"/>
          <w:szCs w:val="32"/>
          <w:lang w:eastAsia="zh-CN"/>
        </w:rPr>
        <w:t>。截止</w:t>
      </w:r>
      <w:r>
        <w:rPr>
          <w:rFonts w:hint="eastAsia" w:ascii="Times New Roman" w:hAnsi="Times New Roman" w:eastAsia="仿宋_GB2312" w:cs="Times New Roman"/>
          <w:bCs/>
          <w:color w:val="000000" w:themeColor="text1"/>
          <w:sz w:val="32"/>
          <w:szCs w:val="32"/>
          <w:lang w:val="en-US" w:eastAsia="zh-CN"/>
        </w:rPr>
        <w:t>2022年12月31日</w:t>
      </w:r>
      <w:r>
        <w:rPr>
          <w:rFonts w:hint="eastAsia" w:ascii="Times New Roman" w:hAnsi="Times New Roman" w:eastAsia="仿宋_GB2312" w:cs="Times New Roman"/>
          <w:bCs/>
          <w:color w:val="000000" w:themeColor="text1"/>
          <w:sz w:val="32"/>
          <w:szCs w:val="32"/>
          <w:lang w:eastAsia="zh-CN"/>
        </w:rPr>
        <w:t>，及时到位资金共</w:t>
      </w:r>
      <w:r>
        <w:rPr>
          <w:rFonts w:hint="eastAsia" w:ascii="Times New Roman" w:hAnsi="Times New Roman" w:eastAsia="仿宋_GB2312" w:cs="Times New Roman"/>
          <w:bCs/>
          <w:color w:val="000000" w:themeColor="text1"/>
          <w:sz w:val="32"/>
          <w:szCs w:val="32"/>
          <w:lang w:val="en-US" w:eastAsia="zh-CN"/>
        </w:rPr>
        <w:t>97.02万元，资金到位率100%。</w:t>
      </w:r>
    </w:p>
    <w:p>
      <w:pPr>
        <w:numPr>
          <w:ilvl w:val="0"/>
          <w:numId w:val="11"/>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eastAsia" w:ascii="Times New Roman" w:hAnsi="Times New Roman" w:eastAsia="仿宋_GB2312" w:cs="Times New Roman"/>
          <w:bCs/>
          <w:color w:val="000000" w:themeColor="text1"/>
          <w:sz w:val="32"/>
          <w:szCs w:val="32"/>
          <w:lang w:eastAsia="zh-CN"/>
        </w:rPr>
        <w:t>截止</w:t>
      </w:r>
      <w:r>
        <w:rPr>
          <w:rFonts w:hint="eastAsia" w:ascii="Times New Roman" w:hAnsi="Times New Roman" w:eastAsia="仿宋_GB2312" w:cs="Times New Roman"/>
          <w:bCs/>
          <w:color w:val="000000" w:themeColor="text1"/>
          <w:sz w:val="32"/>
          <w:szCs w:val="32"/>
          <w:lang w:val="en-US" w:eastAsia="zh-CN"/>
        </w:rPr>
        <w:t>2022年12月31日</w:t>
      </w:r>
      <w:r>
        <w:rPr>
          <w:rFonts w:hint="eastAsia" w:ascii="Times New Roman" w:hAnsi="Times New Roman" w:eastAsia="仿宋_GB2312" w:cs="Times New Roman"/>
          <w:sz w:val="32"/>
          <w:szCs w:val="32"/>
          <w:lang w:val="zh-CN"/>
        </w:rPr>
        <w:t>，我镇共支出共计</w:t>
      </w:r>
      <w:r>
        <w:rPr>
          <w:rFonts w:hint="eastAsia" w:ascii="Times New Roman" w:hAnsi="Times New Roman" w:eastAsia="仿宋_GB2312" w:cs="Times New Roman"/>
          <w:sz w:val="32"/>
          <w:szCs w:val="32"/>
          <w:lang w:val="en-US" w:eastAsia="zh-CN"/>
        </w:rPr>
        <w:t>97.02万元，与预算相符，资金使用率100%。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8"/>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97.02万元、实际投入97.02万元。主要完成情况为：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产出指标：数量指标：受益群众达到570人以上，收支增加大于30元/年。</w:t>
      </w:r>
    </w:p>
    <w:p>
      <w:pPr>
        <w:keepNext w:val="0"/>
        <w:keepLines w:val="0"/>
        <w:pageBreakBefore w:val="0"/>
        <w:numPr>
          <w:ilvl w:val="0"/>
          <w:numId w:val="12"/>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通过本项目，加快了百和镇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工作，确保粮油核心区按时顺利建成，推动了乡村振兴发展，增加群众收入，提升群众满意度与幸福指数，主要指标情况为：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效益指标：生态效益：乡村振兴建设达到30亩以上；</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成本指标：经济成本：支出完成预算的100%。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12"/>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p>
    <w:p>
      <w:pPr>
        <w:pStyle w:val="5"/>
        <w:rPr>
          <w:rFonts w:hint="eastAsia" w:ascii="黑体" w:hAnsi="黑体" w:eastAsia="黑体"/>
          <w:sz w:val="44"/>
          <w:szCs w:val="44"/>
        </w:rPr>
      </w:pPr>
      <w:bookmarkStart w:id="81" w:name="_GoBack"/>
      <w:bookmarkEnd w:id="81"/>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66"/>
      <w:bookmarkEnd w:id="67"/>
      <w:bookmarkStart w:id="68" w:name="_Toc15396619"/>
    </w:p>
    <w:p>
      <w:pPr>
        <w:pStyle w:val="3"/>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8"/>
    </w:p>
    <w:p>
      <w:pPr>
        <w:pStyle w:val="3"/>
        <w:rPr>
          <w:rFonts w:ascii="仿宋" w:hAnsi="仿宋" w:eastAsia="仿宋"/>
        </w:rPr>
      </w:pPr>
      <w:bookmarkStart w:id="69" w:name="_Toc15396620"/>
      <w:r>
        <w:rPr>
          <w:rFonts w:hint="eastAsia" w:ascii="仿宋" w:hAnsi="仿宋" w:eastAsia="仿宋"/>
          <w:b w:val="0"/>
        </w:rPr>
        <w:t>二、收</w:t>
      </w:r>
      <w:r>
        <w:rPr>
          <w:rStyle w:val="25"/>
          <w:rFonts w:hint="eastAsia" w:ascii="仿宋" w:hAnsi="仿宋" w:eastAsia="仿宋"/>
          <w:b w:val="0"/>
          <w:bCs w:val="0"/>
        </w:rPr>
        <w:t>入决算表</w:t>
      </w:r>
      <w:bookmarkEnd w:id="69"/>
    </w:p>
    <w:p>
      <w:pPr>
        <w:pStyle w:val="3"/>
        <w:rPr>
          <w:rFonts w:ascii="仿宋" w:hAnsi="仿宋" w:eastAsia="仿宋"/>
        </w:rPr>
      </w:pPr>
      <w:bookmarkStart w:id="70"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70"/>
    </w:p>
    <w:p>
      <w:pPr>
        <w:pStyle w:val="3"/>
        <w:rPr>
          <w:rFonts w:ascii="仿宋" w:hAnsi="仿宋" w:eastAsia="仿宋"/>
          <w:b w:val="0"/>
        </w:rPr>
      </w:pPr>
      <w:bookmarkStart w:id="71"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71"/>
    </w:p>
    <w:p>
      <w:pPr>
        <w:pStyle w:val="3"/>
        <w:rPr>
          <w:rStyle w:val="25"/>
          <w:rFonts w:ascii="仿宋" w:hAnsi="仿宋" w:eastAsia="仿宋"/>
          <w:b w:val="0"/>
          <w:bCs w:val="0"/>
        </w:rPr>
      </w:pPr>
      <w:bookmarkStart w:id="72"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72"/>
      <w:bookmarkStart w:id="73" w:name="_Toc15396624"/>
    </w:p>
    <w:p>
      <w:pPr>
        <w:pStyle w:val="3"/>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73"/>
    </w:p>
    <w:p>
      <w:pPr>
        <w:pStyle w:val="3"/>
        <w:rPr>
          <w:rFonts w:ascii="仿宋" w:hAnsi="仿宋" w:eastAsia="仿宋"/>
        </w:rPr>
      </w:pPr>
      <w:bookmarkStart w:id="74"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74"/>
    </w:p>
    <w:p>
      <w:pPr>
        <w:pStyle w:val="3"/>
        <w:rPr>
          <w:rFonts w:ascii="仿宋" w:hAnsi="仿宋" w:eastAsia="仿宋"/>
        </w:rPr>
      </w:pPr>
      <w:bookmarkStart w:id="75"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75"/>
    </w:p>
    <w:p>
      <w:pPr>
        <w:pStyle w:val="3"/>
        <w:rPr>
          <w:rFonts w:ascii="仿宋" w:hAnsi="仿宋" w:eastAsia="仿宋"/>
        </w:rPr>
      </w:pPr>
      <w:bookmarkStart w:id="76"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76"/>
    </w:p>
    <w:p>
      <w:pPr>
        <w:pStyle w:val="3"/>
        <w:rPr>
          <w:rFonts w:ascii="仿宋" w:hAnsi="仿宋" w:eastAsia="仿宋"/>
        </w:rPr>
      </w:pPr>
      <w:bookmarkStart w:id="77"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77"/>
    </w:p>
    <w:p>
      <w:pPr>
        <w:pStyle w:val="3"/>
        <w:rPr>
          <w:rFonts w:ascii="仿宋" w:hAnsi="仿宋" w:eastAsia="仿宋"/>
        </w:rPr>
      </w:pPr>
      <w:bookmarkStart w:id="78"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8"/>
    </w:p>
    <w:p>
      <w:pPr>
        <w:pStyle w:val="3"/>
        <w:rPr>
          <w:rFonts w:ascii="仿宋" w:hAnsi="仿宋" w:eastAsia="仿宋"/>
        </w:rPr>
      </w:pPr>
      <w:bookmarkStart w:id="79"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9"/>
    </w:p>
    <w:p>
      <w:pPr>
        <w:pStyle w:val="3"/>
        <w:rPr>
          <w:rStyle w:val="25"/>
          <w:rFonts w:ascii="仿宋" w:hAnsi="仿宋" w:eastAsia="仿宋"/>
          <w:b w:val="0"/>
          <w:bCs w:val="0"/>
        </w:rPr>
      </w:pPr>
      <w:bookmarkStart w:id="80"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80"/>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B0BC4"/>
    <w:multiLevelType w:val="singleLevel"/>
    <w:tmpl w:val="871B0BC4"/>
    <w:lvl w:ilvl="0" w:tentative="0">
      <w:start w:val="2"/>
      <w:numFmt w:val="chineseCounting"/>
      <w:suff w:val="nothing"/>
      <w:lvlText w:val="（%1）"/>
      <w:lvlJc w:val="left"/>
      <w:rPr>
        <w:rFonts w:hint="eastAsia"/>
      </w:rPr>
    </w:lvl>
  </w:abstractNum>
  <w:abstractNum w:abstractNumId="1">
    <w:nsid w:val="A6090A5C"/>
    <w:multiLevelType w:val="singleLevel"/>
    <w:tmpl w:val="A6090A5C"/>
    <w:lvl w:ilvl="0" w:tentative="0">
      <w:start w:val="1"/>
      <w:numFmt w:val="decimal"/>
      <w:suff w:val="nothing"/>
      <w:lvlText w:val="%1、"/>
      <w:lvlJc w:val="left"/>
    </w:lvl>
  </w:abstractNum>
  <w:abstractNum w:abstractNumId="2">
    <w:nsid w:val="B91CE38E"/>
    <w:multiLevelType w:val="singleLevel"/>
    <w:tmpl w:val="B91CE38E"/>
    <w:lvl w:ilvl="0" w:tentative="0">
      <w:start w:val="3"/>
      <w:numFmt w:val="chineseCounting"/>
      <w:suff w:val="nothing"/>
      <w:lvlText w:val="（%1）"/>
      <w:lvlJc w:val="left"/>
      <w:rPr>
        <w:rFonts w:hint="eastAsia"/>
      </w:rPr>
    </w:lvl>
  </w:abstractNum>
  <w:abstractNum w:abstractNumId="3">
    <w:nsid w:val="BD49E9DE"/>
    <w:multiLevelType w:val="singleLevel"/>
    <w:tmpl w:val="BD49E9DE"/>
    <w:lvl w:ilvl="0" w:tentative="0">
      <w:start w:val="1"/>
      <w:numFmt w:val="decimal"/>
      <w:suff w:val="nothing"/>
      <w:lvlText w:val="%1、"/>
      <w:lvlJc w:val="left"/>
      <w:pPr>
        <w:ind w:left="-60"/>
      </w:p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0574E91"/>
    <w:multiLevelType w:val="singleLevel"/>
    <w:tmpl w:val="E0574E91"/>
    <w:lvl w:ilvl="0" w:tentative="0">
      <w:start w:val="2"/>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0280309E"/>
    <w:multiLevelType w:val="singleLevel"/>
    <w:tmpl w:val="0280309E"/>
    <w:lvl w:ilvl="0" w:tentative="0">
      <w:start w:val="1"/>
      <w:numFmt w:val="decimal"/>
      <w:suff w:val="nothing"/>
      <w:lvlText w:val="%1、"/>
      <w:lvlJc w:val="left"/>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831971A"/>
    <w:multiLevelType w:val="singleLevel"/>
    <w:tmpl w:val="1831971A"/>
    <w:lvl w:ilvl="0" w:tentative="0">
      <w:start w:val="4"/>
      <w:numFmt w:val="chineseCounting"/>
      <w:suff w:val="nothing"/>
      <w:lvlText w:val="%1、"/>
      <w:lvlJc w:val="left"/>
      <w:rPr>
        <w:rFonts w:hint="eastAsia"/>
      </w:rPr>
    </w:lvl>
  </w:abstractNum>
  <w:abstractNum w:abstractNumId="10">
    <w:nsid w:val="44760185"/>
    <w:multiLevelType w:val="singleLevel"/>
    <w:tmpl w:val="44760185"/>
    <w:lvl w:ilvl="0" w:tentative="0">
      <w:start w:val="2"/>
      <w:numFmt w:val="chineseCounting"/>
      <w:suff w:val="nothing"/>
      <w:lvlText w:val="（%1）"/>
      <w:lvlJc w:val="left"/>
      <w:rPr>
        <w:rFonts w:hint="eastAsia"/>
      </w:rPr>
    </w:lvl>
  </w:abstractNum>
  <w:abstractNum w:abstractNumId="11">
    <w:nsid w:val="48F48A23"/>
    <w:multiLevelType w:val="singleLevel"/>
    <w:tmpl w:val="48F48A23"/>
    <w:lvl w:ilvl="0" w:tentative="0">
      <w:start w:val="2"/>
      <w:numFmt w:val="decimal"/>
      <w:suff w:val="nothing"/>
      <w:lvlText w:val="%1．"/>
      <w:lvlJc w:val="left"/>
    </w:lvl>
  </w:abstractNum>
  <w:num w:numId="1">
    <w:abstractNumId w:val="7"/>
  </w:num>
  <w:num w:numId="2">
    <w:abstractNumId w:val="8"/>
  </w:num>
  <w:num w:numId="3">
    <w:abstractNumId w:val="1"/>
  </w:num>
  <w:num w:numId="4">
    <w:abstractNumId w:val="4"/>
  </w:num>
  <w:num w:numId="5">
    <w:abstractNumId w:val="6"/>
  </w:num>
  <w:num w:numId="6">
    <w:abstractNumId w:val="5"/>
  </w:num>
  <w:num w:numId="7">
    <w:abstractNumId w:val="3"/>
  </w:num>
  <w:num w:numId="8">
    <w:abstractNumId w:val="10"/>
  </w:num>
  <w:num w:numId="9">
    <w:abstractNumId w:val="9"/>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ZmE0OTM5N2I1N2JiM2E0NzM4YmRkNWZkNDI5NG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2DFE"/>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29C7664"/>
    <w:rsid w:val="02A87BA3"/>
    <w:rsid w:val="02BD0CBE"/>
    <w:rsid w:val="0333345C"/>
    <w:rsid w:val="05AC01E3"/>
    <w:rsid w:val="066E0107"/>
    <w:rsid w:val="067B6D16"/>
    <w:rsid w:val="07996F6E"/>
    <w:rsid w:val="09181A0E"/>
    <w:rsid w:val="0A2032A3"/>
    <w:rsid w:val="101860EC"/>
    <w:rsid w:val="10C055FF"/>
    <w:rsid w:val="118107EC"/>
    <w:rsid w:val="13D50BC4"/>
    <w:rsid w:val="13D529D6"/>
    <w:rsid w:val="13F05194"/>
    <w:rsid w:val="142179C9"/>
    <w:rsid w:val="150F40EF"/>
    <w:rsid w:val="157536B8"/>
    <w:rsid w:val="16BB723D"/>
    <w:rsid w:val="177A1C19"/>
    <w:rsid w:val="19BA35FD"/>
    <w:rsid w:val="1A0A3146"/>
    <w:rsid w:val="1BE8440E"/>
    <w:rsid w:val="1D1207F7"/>
    <w:rsid w:val="1D155CEE"/>
    <w:rsid w:val="1E62755C"/>
    <w:rsid w:val="23860B96"/>
    <w:rsid w:val="240371BF"/>
    <w:rsid w:val="25C26B32"/>
    <w:rsid w:val="26B5598B"/>
    <w:rsid w:val="276B1A7B"/>
    <w:rsid w:val="285D6DC8"/>
    <w:rsid w:val="29FD04D3"/>
    <w:rsid w:val="2C8A61B5"/>
    <w:rsid w:val="2DF04E50"/>
    <w:rsid w:val="2F9E6EAD"/>
    <w:rsid w:val="317259F8"/>
    <w:rsid w:val="319F7F4E"/>
    <w:rsid w:val="33022BFC"/>
    <w:rsid w:val="330D3C4D"/>
    <w:rsid w:val="341A4807"/>
    <w:rsid w:val="34343E30"/>
    <w:rsid w:val="3533537B"/>
    <w:rsid w:val="36AA5135"/>
    <w:rsid w:val="37E16F03"/>
    <w:rsid w:val="39885DAF"/>
    <w:rsid w:val="3AB57052"/>
    <w:rsid w:val="3D98207C"/>
    <w:rsid w:val="434370AD"/>
    <w:rsid w:val="44E268DA"/>
    <w:rsid w:val="45360818"/>
    <w:rsid w:val="458D0E8A"/>
    <w:rsid w:val="46A25129"/>
    <w:rsid w:val="47B64A4D"/>
    <w:rsid w:val="48176DA7"/>
    <w:rsid w:val="4A627F82"/>
    <w:rsid w:val="4A892853"/>
    <w:rsid w:val="4B4F25DA"/>
    <w:rsid w:val="4BE068DB"/>
    <w:rsid w:val="4BEE5ADE"/>
    <w:rsid w:val="4D577224"/>
    <w:rsid w:val="4EAB630A"/>
    <w:rsid w:val="4ECE2238"/>
    <w:rsid w:val="515C2DD9"/>
    <w:rsid w:val="5274287B"/>
    <w:rsid w:val="564451BE"/>
    <w:rsid w:val="56554CD5"/>
    <w:rsid w:val="5AF92295"/>
    <w:rsid w:val="5B19553C"/>
    <w:rsid w:val="5B3A0320"/>
    <w:rsid w:val="5CD71FC4"/>
    <w:rsid w:val="5F0541D8"/>
    <w:rsid w:val="5F507610"/>
    <w:rsid w:val="5F750196"/>
    <w:rsid w:val="5FC7309C"/>
    <w:rsid w:val="6C4A05C8"/>
    <w:rsid w:val="6E7E3605"/>
    <w:rsid w:val="6FF5CC65"/>
    <w:rsid w:val="715C0E4B"/>
    <w:rsid w:val="72734D90"/>
    <w:rsid w:val="728A3B01"/>
    <w:rsid w:val="72EA7F3F"/>
    <w:rsid w:val="73AD73D5"/>
    <w:rsid w:val="73B6EB34"/>
    <w:rsid w:val="76E55340"/>
    <w:rsid w:val="78C51A0B"/>
    <w:rsid w:val="79EE5BA4"/>
    <w:rsid w:val="7A894339"/>
    <w:rsid w:val="7EEF11D3"/>
    <w:rsid w:val="7FA30C79"/>
    <w:rsid w:val="7FC96657"/>
    <w:rsid w:val="7FFC1EDC"/>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四号正文"/>
    <w:basedOn w:val="1"/>
    <w:qFormat/>
    <w:uiPriority w:val="0"/>
    <w:pPr>
      <w:spacing w:line="360" w:lineRule="auto"/>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zh-CN"/>
              <a:t>收入、支出总计变动图</a:t>
            </a:r>
            <a:endParaRPr altLang="zh-CN"/>
          </a:p>
        </c:rich>
      </c:tx>
      <c:layout>
        <c:manualLayout>
          <c:xMode val="edge"/>
          <c:yMode val="edge"/>
          <c:x val="0.386875"/>
          <c:y val="0.015121951219512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6238.99</c:v>
                </c:pt>
                <c:pt idx="1">
                  <c:v>6238.99</c:v>
                </c:pt>
              </c:numCache>
            </c:numRef>
          </c:val>
        </c:ser>
        <c:ser>
          <c:idx val="1"/>
          <c:order val="1"/>
          <c:tx>
            <c:strRef>
              <c:f>Sheet1!$C$1</c:f>
              <c:strCache>
                <c:ptCount val="1"/>
                <c:pt idx="0">
                  <c:v>2022年</c:v>
                </c:pt>
              </c:strCache>
            </c:strRef>
          </c:tx>
          <c:spPr>
            <a:solidFill>
              <a:schemeClr val="accent2"/>
            </a:solidFill>
            <a:ln w="6350" cmpd="sng">
              <a:solidFill>
                <a:schemeClr val="accent1"/>
              </a:solidFill>
              <a:prstDash val="solid"/>
            </a:ln>
            <a:effectLst/>
            <a:sp3d contourW="635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2803.32</c:v>
                </c:pt>
                <c:pt idx="1">
                  <c:v>2803.32</c:v>
                </c:pt>
              </c:numCache>
            </c:numRef>
          </c:val>
        </c:ser>
        <c:dLbls>
          <c:showLegendKey val="0"/>
          <c:showVal val="1"/>
          <c:showCatName val="0"/>
          <c:showSerName val="0"/>
          <c:showPercent val="0"/>
          <c:showBubbleSize val="0"/>
        </c:dLbls>
        <c:gapWidth val="219"/>
        <c:overlap val="-27"/>
        <c:axId val="60133283"/>
        <c:axId val="46290649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总收入</c:v>
                      </c:pt>
                      <c:pt idx="1">
                        <c:v>总支出</c:v>
                      </c:pt>
                    </c:strCache>
                  </c:strRef>
                </c:cat>
              </c15:ser>
            </c15:filteredBarSeries>
          </c:ext>
        </c:extLst>
      </c:barChart>
      <c:catAx>
        <c:axId val="60133283"/>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906499"/>
        <c:crosses val="autoZero"/>
        <c:auto val="1"/>
        <c:lblAlgn val="ctr"/>
        <c:lblOffset val="100"/>
        <c:noMultiLvlLbl val="0"/>
      </c:catAx>
      <c:valAx>
        <c:axId val="462906499"/>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b" anchorCtr="0"/>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86"/>
              <c:y val="0.0414634146341463"/>
            </c:manualLayout>
          </c:layout>
          <c:overlay val="0"/>
          <c:spPr>
            <a:noFill/>
            <a:ln>
              <a:noFill/>
            </a:ln>
            <a:effectLst/>
          </c:spPr>
        </c:title>
        <c:numFmt formatCode="General" sourceLinked="0"/>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3328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397125"/>
          <c:y val="0.921813725490196"/>
          <c:w val="0.34425"/>
          <c:h val="0.0708333333333333"/>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0"/>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000" b="0">
                <a:solidFill>
                  <a:schemeClr val="tx1">
                    <a:lumMod val="75000"/>
                    <a:lumOff val="25000"/>
                  </a:schemeClr>
                </a:solidFill>
                <a:uFillTx/>
              </a:rPr>
              <a:t>单位</a:t>
            </a:r>
            <a:r>
              <a:rPr sz="900" b="0"/>
              <a:t>:</a:t>
            </a:r>
            <a:r>
              <a:rPr sz="1000" b="0">
                <a:solidFill>
                  <a:schemeClr val="tx1">
                    <a:lumMod val="75000"/>
                    <a:lumOff val="25000"/>
                  </a:schemeClr>
                </a:solidFill>
                <a:uFillTx/>
              </a:rPr>
              <a:t>万元</a:t>
            </a:r>
            <a:endParaRPr sz="1000" b="0">
              <a:solidFill>
                <a:schemeClr val="tx1">
                  <a:lumMod val="75000"/>
                  <a:lumOff val="25000"/>
                </a:schemeClr>
              </a:solidFill>
              <a:uFillTx/>
            </a:endParaRPr>
          </a:p>
        </c:rich>
      </c:tx>
      <c:layout>
        <c:manualLayout>
          <c:xMode val="edge"/>
          <c:yMode val="edge"/>
          <c:x val="0.808752449379491"/>
          <c:y val="0.123393939393939"/>
        </c:manualLayout>
      </c:layout>
      <c:overlay val="0"/>
      <c:spPr>
        <a:noFill/>
        <a:ln>
          <a:noFill/>
        </a:ln>
        <a:effectLst/>
      </c:spPr>
    </c:title>
    <c:autoTitleDeleted val="0"/>
    <c:plotArea>
      <c:layout>
        <c:manualLayout>
          <c:layoutTarget val="inner"/>
          <c:xMode val="edge"/>
          <c:yMode val="edge"/>
          <c:x val="0.314369693011104"/>
          <c:y val="0.201454545454545"/>
          <c:w val="0.366819072501633"/>
          <c:h val="0.680727272727273"/>
        </c:manualLayout>
      </c:layout>
      <c:pieChart>
        <c:varyColors val="1"/>
        <c:ser>
          <c:idx val="0"/>
          <c:order val="0"/>
          <c:tx>
            <c:strRef>
              <c:f>Sheet1!$B$1:$C$1</c:f>
              <c:strCache>
                <c:ptCount val="1"/>
                <c:pt idx="0">
                  <c:v>收入决算结构图</c:v>
                </c:pt>
              </c:strCache>
            </c:strRef>
          </c:tx>
          <c:spPr>
            <a:gradFill>
              <a:gsLst>
                <a:gs pos="0">
                  <a:schemeClr val="accent1">
                    <a:lumMod val="40000"/>
                    <a:lumOff val="60000"/>
                  </a:schemeClr>
                </a:gs>
                <a:gs pos="90000">
                  <a:schemeClr val="accent1"/>
                </a:gs>
              </a:gsLst>
              <a:lin ang="4800000" scaled="0"/>
            </a:gradFill>
          </c:spPr>
          <c:explosion val="0"/>
          <c:dPt>
            <c:idx val="0"/>
            <c:bubble3D val="0"/>
            <c:spPr>
              <a:gradFill>
                <a:gsLst>
                  <a:gs pos="0">
                    <a:schemeClr val="accent1">
                      <a:lumMod val="40000"/>
                      <a:lumOff val="60000"/>
                    </a:schemeClr>
                  </a:gs>
                  <a:gs pos="90000">
                    <a:schemeClr val="accent1"/>
                  </a:gs>
                </a:gsLst>
                <a:lin ang="48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48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1">
                      <a:lumMod val="40000"/>
                      <a:lumOff val="60000"/>
                    </a:schemeClr>
                  </a:gs>
                  <a:gs pos="90000">
                    <a:schemeClr val="accent1"/>
                  </a:gs>
                </a:gsLst>
                <a:lin ang="48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dLbl>
              <c:idx val="0"/>
              <c:layout>
                <c:manualLayout>
                  <c:x val="-0.0222518255064957"/>
                  <c:y val="-0.24035020204318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67164215442663"/>
                  <c:y val="0.14338051515258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年初结转和结余</c:v>
                </c:pt>
              </c:strCache>
            </c:strRef>
          </c:cat>
          <c:val>
            <c:numRef>
              <c:f>Sheet1!$B$2:$B$4</c:f>
              <c:numCache>
                <c:formatCode>General</c:formatCode>
                <c:ptCount val="3"/>
                <c:pt idx="0">
                  <c:v>1916.68</c:v>
                </c:pt>
                <c:pt idx="1">
                  <c:v>876.13</c:v>
                </c:pt>
                <c:pt idx="2">
                  <c:v>10.51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778576094056172"/>
          <c:y val="0.9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sz="1050">
                <a:solidFill>
                  <a:schemeClr val="tx1"/>
                </a:solidFill>
              </a:rPr>
              <a:t>单位：万元</a:t>
            </a:r>
            <a:endParaRPr sz="1050">
              <a:solidFill>
                <a:schemeClr val="tx1"/>
              </a:solidFill>
            </a:endParaRPr>
          </a:p>
        </c:rich>
      </c:tx>
      <c:layout>
        <c:manualLayout>
          <c:xMode val="edge"/>
          <c:yMode val="edge"/>
          <c:x val="0.79159456118665"/>
          <c:y val="0.126469085334696"/>
        </c:manualLayout>
      </c:layout>
      <c:overlay val="0"/>
      <c:spPr>
        <a:noFill/>
        <a:ln>
          <a:noFill/>
        </a:ln>
        <a:effectLst/>
      </c:spPr>
    </c:title>
    <c:autoTitleDeleted val="0"/>
    <c:plotArea>
      <c:layout/>
      <c:pieChart>
        <c:varyColors val="1"/>
        <c:ser>
          <c:idx val="0"/>
          <c:order val="0"/>
          <c:tx>
            <c:strRef>
              <c:f>Sheet1!$B$1:$C$1</c:f>
              <c:strCache>
                <c:ptCount val="1"/>
                <c:pt idx="0">
                  <c:v>支出决算结构图</c:v>
                </c:pt>
              </c:strCache>
            </c:strRef>
          </c:tx>
          <c:spPr>
            <a:ln w="12700" cmpd="sng">
              <a:solidFill>
                <a:schemeClr val="bg1">
                  <a:lumMod val="90000"/>
                </a:schemeClr>
              </a:solidFill>
              <a:prstDash val="solid"/>
            </a:ln>
            <a:sp3d contourW="12700"/>
          </c:spPr>
          <c:explosion val="0"/>
          <c:dPt>
            <c:idx val="0"/>
            <c:bubble3D val="0"/>
            <c:spPr>
              <a:solidFill>
                <a:schemeClr val="accent1"/>
              </a:solidFill>
              <a:ln w="12700" cmpd="sng">
                <a:solidFill>
                  <a:schemeClr val="bg1">
                    <a:lumMod val="90000"/>
                  </a:schemeClr>
                </a:solidFill>
                <a:prstDash val="solid"/>
              </a:ln>
              <a:effectLst/>
              <a:sp3d contourW="12700"/>
            </c:spPr>
          </c:dPt>
          <c:dPt>
            <c:idx val="1"/>
            <c:bubble3D val="0"/>
            <c:spPr>
              <a:solidFill>
                <a:schemeClr val="accent2"/>
              </a:solidFill>
              <a:ln w="12700" cmpd="sng">
                <a:solidFill>
                  <a:schemeClr val="bg1">
                    <a:lumMod val="90000"/>
                  </a:schemeClr>
                </a:solidFill>
                <a:prstDash val="solid"/>
              </a:ln>
              <a:effectLst/>
              <a:sp3d contourW="127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1114.56</c:v>
                </c:pt>
                <c:pt idx="1">
                  <c:v>1688.76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财政拨款收入、支出决算总计变动情况</a:t>
            </a:r>
          </a:p>
        </c:rich>
      </c:tx>
      <c:layout/>
      <c:overlay val="0"/>
      <c:spPr>
        <a:noFill/>
        <a:ln>
          <a:noFill/>
        </a:ln>
        <a:effectLst/>
      </c:spPr>
    </c:title>
    <c:autoTitleDeleted val="0"/>
    <c:plotArea>
      <c:layout>
        <c:manualLayout>
          <c:layoutTarget val="inner"/>
          <c:xMode val="edge"/>
          <c:yMode val="edge"/>
          <c:x val="0.07845"/>
          <c:y val="0.158839557621414"/>
          <c:w val="0.8938"/>
          <c:h val="0.670043276166052"/>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6238.99</c:v>
                </c:pt>
                <c:pt idx="1">
                  <c:v>6238.99</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2803.32</c:v>
                </c:pt>
                <c:pt idx="1">
                  <c:v>2803.32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18469296"/>
        <c:axId val="305634844"/>
      </c:barChart>
      <c:catAx>
        <c:axId val="3184692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06725"/>
              <c:y val="0.084628946946626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634844"/>
        <c:crosses val="autoZero"/>
        <c:auto val="1"/>
        <c:lblAlgn val="ctr"/>
        <c:lblOffset val="100"/>
        <c:noMultiLvlLbl val="0"/>
      </c:catAx>
      <c:valAx>
        <c:axId val="3056348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692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manualLayout>
          <c:xMode val="edge"/>
          <c:yMode val="edge"/>
          <c:x val="0.3505"/>
          <c:y val="0.901586792755249"/>
          <c:w val="0.34325"/>
          <c:h val="0.0868728962974836"/>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solidFill>
                  <a:schemeClr val="tx1">
                    <a:lumMod val="65000"/>
                    <a:lumOff val="35000"/>
                  </a:schemeClr>
                </a:solidFill>
                <a:uFillTx/>
              </a:rPr>
              <a:t>单位：万元</a:t>
            </a:r>
            <a:endParaRPr sz="900">
              <a:solidFill>
                <a:schemeClr val="tx1">
                  <a:lumMod val="65000"/>
                  <a:lumOff val="35000"/>
                </a:schemeClr>
              </a:solidFill>
              <a:uFillTx/>
            </a:endParaRPr>
          </a:p>
        </c:rich>
      </c:tx>
      <c:layout>
        <c:manualLayout>
          <c:xMode val="edge"/>
          <c:yMode val="edge"/>
          <c:x val="0.836125"/>
          <c:y val="0.052377785167941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5842.6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1927.19</c:v>
                </c:pt>
              </c:numCache>
            </c:numRef>
          </c:val>
        </c:ser>
        <c:dLbls>
          <c:showLegendKey val="0"/>
          <c:showVal val="0"/>
          <c:showCatName val="0"/>
          <c:showSerName val="0"/>
          <c:showPercent val="0"/>
          <c:showBubbleSize val="0"/>
        </c:dLbls>
        <c:gapWidth val="219"/>
        <c:overlap val="-27"/>
        <c:axId val="518292178"/>
        <c:axId val="661544527"/>
      </c:barChart>
      <c:catAx>
        <c:axId val="5182921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44527"/>
        <c:crosses val="autoZero"/>
        <c:auto val="1"/>
        <c:lblAlgn val="ctr"/>
        <c:lblOffset val="100"/>
        <c:noMultiLvlLbl val="0"/>
      </c:catAx>
      <c:valAx>
        <c:axId val="661544527"/>
        <c:scaling>
          <c:orientation val="minMax"/>
          <c:max val="6000"/>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292178"/>
        <c:crosses val="autoZero"/>
        <c:crossBetween val="between"/>
      </c:valAx>
      <c:spPr>
        <a:noFill/>
        <a:ln>
          <a:noFill/>
        </a:ln>
        <a:effectLst/>
      </c:spPr>
    </c:plotArea>
    <c:legend>
      <c:legendPos val="b"/>
      <c:layout>
        <c:manualLayout>
          <c:xMode val="edge"/>
          <c:yMode val="edge"/>
          <c:x val="0.361931034482759"/>
          <c:y val="0.903208460297544"/>
          <c:w val="0.333103448275862"/>
          <c:h val="0.091414231941208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solidFill>
                  <a:schemeClr val="tx1">
                    <a:lumMod val="65000"/>
                    <a:lumOff val="35000"/>
                  </a:schemeClr>
                </a:solidFill>
                <a:uFillTx/>
              </a:rPr>
              <a:t>单位：万元</a:t>
            </a:r>
            <a:endParaRPr sz="1000">
              <a:solidFill>
                <a:schemeClr val="tx1">
                  <a:lumMod val="65000"/>
                  <a:lumOff val="35000"/>
                </a:schemeClr>
              </a:solidFill>
              <a:uFillTx/>
            </a:endParaRPr>
          </a:p>
        </c:rich>
      </c:tx>
      <c:layout>
        <c:manualLayout>
          <c:xMode val="edge"/>
          <c:yMode val="edge"/>
          <c:x val="0.7905"/>
          <c:y val="0.0425"/>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5"/>
              <c:layout>
                <c:manualLayout>
                  <c:x val="-0.0204800540902292"/>
                  <c:y val="0.003502182514814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教育支出</c:v>
                </c:pt>
                <c:pt idx="2">
                  <c:v>社会保障和就业支出</c:v>
                </c:pt>
                <c:pt idx="3">
                  <c:v>卫生健康支出</c:v>
                </c:pt>
                <c:pt idx="4">
                  <c:v>农林水支出</c:v>
                </c:pt>
                <c:pt idx="5">
                  <c:v>资源勘探工业信息等支出</c:v>
                </c:pt>
                <c:pt idx="6">
                  <c:v>住房保障支出</c:v>
                </c:pt>
              </c:strCache>
            </c:strRef>
          </c:cat>
          <c:val>
            <c:numRef>
              <c:f>Sheet1!$B$2:$B$8</c:f>
              <c:numCache>
                <c:formatCode>General</c:formatCode>
                <c:ptCount val="7"/>
                <c:pt idx="0">
                  <c:v>961.25</c:v>
                </c:pt>
                <c:pt idx="1" c:formatCode="#,##0.00">
                  <c:v>249.22</c:v>
                </c:pt>
                <c:pt idx="2">
                  <c:v>65.13</c:v>
                </c:pt>
                <c:pt idx="3">
                  <c:v>39.73</c:v>
                </c:pt>
                <c:pt idx="4">
                  <c:v>515.01</c:v>
                </c:pt>
                <c:pt idx="5" c:formatCode="0.00_ ">
                  <c:v>48.4</c:v>
                </c:pt>
                <c:pt idx="6">
                  <c:v>48.45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单位：万元</a:t>
            </a:r>
            <a:endParaRPr sz="1050"/>
          </a:p>
        </c:rich>
      </c:tx>
      <c:layout>
        <c:manualLayout>
          <c:xMode val="edge"/>
          <c:yMode val="edge"/>
          <c:x val="0.792632927610506"/>
          <c:y val="0.0956284153005464"/>
        </c:manualLayout>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10.05</c:v>
                </c:pt>
                <c:pt idx="1" c:formatCode="0.00_ ">
                  <c:v>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7656</Words>
  <Characters>8374</Characters>
  <Lines>57</Lines>
  <Paragraphs>16</Paragraphs>
  <TotalTime>0</TotalTime>
  <ScaleCrop>false</ScaleCrop>
  <LinksUpToDate>false</LinksUpToDate>
  <CharactersWithSpaces>8521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时弧</cp:lastModifiedBy>
  <cp:lastPrinted>2022-08-08T09:11:00Z</cp:lastPrinted>
  <dcterms:modified xsi:type="dcterms:W3CDTF">2023-12-08T03:20:23Z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AE7F8DA7CFBF472F840539862D7087CA</vt:lpwstr>
  </property>
</Properties>
</file>